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15E" w:rsidRDefault="00E13ACF" w:rsidP="00BC5097">
      <w:pPr>
        <w:pStyle w:val="Heading1"/>
        <w:spacing w:before="100" w:beforeAutospacing="1"/>
        <w:rPr>
          <w:rFonts w:ascii="Book Antiqua" w:hAnsi="Book Antiqua" w:cs="Aharoni"/>
          <w:bCs/>
          <w:i/>
          <w:color w:val="333300"/>
          <w:sz w:val="24"/>
        </w:rPr>
      </w:pPr>
      <w:r>
        <w:rPr>
          <w:rFonts w:ascii="Book Antiqua" w:hAnsi="Book Antiqua" w:cs="Aharoni"/>
          <w:bCs/>
          <w:i/>
          <w:noProof/>
          <w:color w:val="333300"/>
          <w:sz w:val="24"/>
        </w:rPr>
        <w:drawing>
          <wp:inline distT="0" distB="0" distL="0" distR="0" wp14:anchorId="415A728D" wp14:editId="7FC9A5A9">
            <wp:extent cx="6400800" cy="819150"/>
            <wp:effectExtent l="0" t="0" r="0" b="0"/>
            <wp:docPr id="1" name="Picture 1" descr="Macintosh HD:Users:jamesnavalta:Desktop:IJES New 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mesnavalta:Desktop:IJES New Bann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819150"/>
                    </a:xfrm>
                    <a:prstGeom prst="rect">
                      <a:avLst/>
                    </a:prstGeom>
                    <a:noFill/>
                    <a:ln>
                      <a:noFill/>
                    </a:ln>
                  </pic:spPr>
                </pic:pic>
              </a:graphicData>
            </a:graphic>
          </wp:inline>
        </w:drawing>
      </w:r>
    </w:p>
    <w:p w:rsidR="00BC5097" w:rsidRPr="00635467" w:rsidRDefault="002755E8" w:rsidP="00BC5097">
      <w:pPr>
        <w:pStyle w:val="Heading1"/>
        <w:spacing w:before="100" w:beforeAutospacing="1"/>
        <w:rPr>
          <w:rFonts w:ascii="Book Antiqua" w:hAnsi="Book Antiqua" w:cs="Aharoni"/>
          <w:bCs/>
          <w:i/>
          <w:color w:val="333300"/>
          <w:sz w:val="24"/>
        </w:rPr>
      </w:pPr>
      <w:r w:rsidRPr="00635467">
        <w:rPr>
          <w:rFonts w:ascii="Book Antiqua" w:hAnsi="Book Antiqua" w:cs="Aharoni"/>
          <w:bCs/>
          <w:i/>
          <w:color w:val="333300"/>
          <w:sz w:val="24"/>
        </w:rPr>
        <w:t>Original Research</w:t>
      </w:r>
    </w:p>
    <w:p w:rsidR="00E1571C" w:rsidRPr="00635467" w:rsidRDefault="00466348" w:rsidP="00E1571C">
      <w:pPr>
        <w:rPr>
          <w:rFonts w:ascii="Book Antiqua" w:hAnsi="Book Antiqua" w:cs="Arial"/>
          <w:b/>
          <w:bCs/>
          <w:color w:val="000000"/>
        </w:rPr>
      </w:pPr>
      <w:r>
        <w:rPr>
          <w:noProof/>
        </w:rPr>
        <mc:AlternateContent>
          <mc:Choice Requires="wps">
            <w:drawing>
              <wp:anchor distT="0" distB="0" distL="114300" distR="114300" simplePos="0" relativeHeight="251659264" behindDoc="0" locked="0" layoutInCell="1" allowOverlap="1" wp14:anchorId="6CE16F3B">
                <wp:simplePos x="0" y="0"/>
                <wp:positionH relativeFrom="column">
                  <wp:posOffset>0</wp:posOffset>
                </wp:positionH>
                <wp:positionV relativeFrom="paragraph">
                  <wp:posOffset>73025</wp:posOffset>
                </wp:positionV>
                <wp:extent cx="6400800" cy="0"/>
                <wp:effectExtent l="0" t="1270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25400">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chemeClr val="tx1">
                                    <a:lumMod val="100000"/>
                                    <a:lumOff val="0"/>
                                    <a:alpha val="37999"/>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4073A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5pt" to="7in,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" strokecolor="black [3213]" strokeweight="2pt">
                <v:shadow color="black [3213]" opacity="24903f" origin=",.5" offset="0,.55556mm"/>
                <o:lock v:ext="edit" shapetype="f"/>
              </v:line>
            </w:pict>
          </mc:Fallback>
        </mc:AlternateContent>
      </w:r>
    </w:p>
    <w:p w:rsidR="00925100" w:rsidRPr="007315C7" w:rsidRDefault="00E308F6" w:rsidP="001E1C41">
      <w:pPr>
        <w:widowControl w:val="0"/>
        <w:autoSpaceDE w:val="0"/>
        <w:autoSpaceDN w:val="0"/>
        <w:adjustRightInd w:val="0"/>
        <w:jc w:val="both"/>
        <w:rPr>
          <w:rFonts w:ascii="Book Antiqua" w:hAnsi="Book Antiqua"/>
          <w:b/>
          <w:sz w:val="28"/>
          <w:szCs w:val="28"/>
        </w:rPr>
      </w:pPr>
      <w:r w:rsidRPr="00E308F6">
        <w:rPr>
          <w:rFonts w:ascii="Book Antiqua" w:hAnsi="Book Antiqua"/>
          <w:b/>
          <w:sz w:val="28"/>
          <w:szCs w:val="28"/>
        </w:rPr>
        <w:t>Body Composition, Metabolism and Inflammation in Breast Cancer Survivors and Healthy Age-matched Controls: A Cross-Sectional Analysis</w:t>
      </w:r>
    </w:p>
    <w:p w:rsidR="003850CA" w:rsidRPr="008110F4" w:rsidRDefault="003850CA" w:rsidP="001E1C41">
      <w:pPr>
        <w:jc w:val="both"/>
        <w:rPr>
          <w:rFonts w:ascii="Book Antiqua" w:hAnsi="Book Antiqua" w:cs="Aharoni"/>
          <w:sz w:val="16"/>
          <w:szCs w:val="16"/>
        </w:rPr>
      </w:pPr>
    </w:p>
    <w:p w:rsidR="005B4873" w:rsidRDefault="005B4873" w:rsidP="005B4873">
      <w:pPr>
        <w:jc w:val="both"/>
        <w:rPr>
          <w:rFonts w:ascii="Book Antiqua" w:eastAsia="Book Antiqua" w:hAnsi="Book Antiqua" w:cs="Book Antiqua"/>
        </w:rPr>
      </w:pPr>
      <w:r>
        <w:rPr>
          <w:rFonts w:ascii="Book Antiqua" w:eastAsia="Book Antiqua" w:hAnsi="Book Antiqua" w:cs="Book Antiqua"/>
        </w:rPr>
        <w:t>TAKUDZWA A. MADZIMA</w:t>
      </w:r>
      <w:r w:rsidRPr="002162C3">
        <w:rPr>
          <w:rFonts w:ascii="Book Antiqua" w:hAnsi="Book Antiqua"/>
          <w:caps/>
          <w:vertAlign w:val="superscript"/>
        </w:rPr>
        <w:t>‡</w:t>
      </w:r>
      <w:r>
        <w:rPr>
          <w:rFonts w:ascii="Book Antiqua" w:eastAsia="Book Antiqua" w:hAnsi="Book Antiqua" w:cs="Book Antiqua"/>
          <w:vertAlign w:val="superscript"/>
        </w:rPr>
        <w:t>1</w:t>
      </w:r>
      <w:r>
        <w:rPr>
          <w:rFonts w:ascii="Book Antiqua" w:eastAsia="Book Antiqua" w:hAnsi="Book Antiqua" w:cs="Book Antiqua"/>
        </w:rPr>
        <w:t>, and CAROLINE D. DEATERLY*</w:t>
      </w:r>
      <w:r>
        <w:rPr>
          <w:rFonts w:ascii="Book Antiqua" w:eastAsia="Book Antiqua" w:hAnsi="Book Antiqua" w:cs="Book Antiqua"/>
          <w:vertAlign w:val="superscript"/>
        </w:rPr>
        <w:t>1</w:t>
      </w:r>
      <w:r>
        <w:rPr>
          <w:rFonts w:ascii="Book Antiqua" w:eastAsia="Book Antiqua" w:hAnsi="Book Antiqua" w:cs="Book Antiqua"/>
        </w:rPr>
        <w:t xml:space="preserve"> </w:t>
      </w:r>
    </w:p>
    <w:p w:rsidR="00E603AE" w:rsidRPr="008110F4" w:rsidRDefault="00E603AE" w:rsidP="008D4C69">
      <w:pPr>
        <w:widowControl w:val="0"/>
        <w:autoSpaceDE w:val="0"/>
        <w:autoSpaceDN w:val="0"/>
        <w:adjustRightInd w:val="0"/>
        <w:jc w:val="both"/>
        <w:rPr>
          <w:rFonts w:ascii="Book Antiqua" w:hAnsi="Book Antiqua" w:cs="Arial"/>
          <w:sz w:val="16"/>
          <w:szCs w:val="16"/>
        </w:rPr>
      </w:pPr>
    </w:p>
    <w:p w:rsidR="005B4873" w:rsidRDefault="005B4873" w:rsidP="005B4873">
      <w:pPr>
        <w:jc w:val="both"/>
        <w:rPr>
          <w:rFonts w:ascii="Book Antiqua" w:eastAsia="Book Antiqua" w:hAnsi="Book Antiqua" w:cs="Book Antiqua"/>
        </w:rPr>
      </w:pPr>
      <w:r>
        <w:rPr>
          <w:rFonts w:ascii="Book Antiqua" w:eastAsia="Book Antiqua" w:hAnsi="Book Antiqua" w:cs="Book Antiqua"/>
          <w:vertAlign w:val="superscript"/>
        </w:rPr>
        <w:t>1</w:t>
      </w:r>
      <w:r>
        <w:rPr>
          <w:rFonts w:ascii="Book Antiqua" w:eastAsia="Book Antiqua" w:hAnsi="Book Antiqua" w:cs="Book Antiqua"/>
        </w:rPr>
        <w:t xml:space="preserve">Department of Exercise Science, Energy Metabolism and Body Composition Laboratory, Elon University, Elon, NC, United States of America </w:t>
      </w:r>
    </w:p>
    <w:p w:rsidR="00F42DFB" w:rsidRPr="008110F4" w:rsidRDefault="00F42DFB" w:rsidP="006E148C">
      <w:pPr>
        <w:rPr>
          <w:rFonts w:ascii="Book Antiqua" w:eastAsia="Calibri" w:hAnsi="Book Antiqua"/>
          <w:sz w:val="16"/>
          <w:szCs w:val="16"/>
        </w:rPr>
      </w:pPr>
    </w:p>
    <w:p w:rsidR="00BC5097" w:rsidRPr="00635467" w:rsidRDefault="00466348" w:rsidP="00BC5097">
      <w:pPr>
        <w:pStyle w:val="HTMLPreformatted"/>
        <w:rPr>
          <w:rFonts w:ascii="Book Antiqua" w:hAnsi="Book Antiqua"/>
          <w:caps/>
        </w:rPr>
      </w:pPr>
      <w:r>
        <w:rPr>
          <w:rFonts w:ascii="Book Antiqua" w:hAnsi="Book Antiqua" w:cs="Aharoni"/>
          <w:noProof/>
        </w:rPr>
        <mc:AlternateContent>
          <mc:Choice Requires="wps">
            <w:drawing>
              <wp:anchor distT="0" distB="0" distL="114300" distR="114300" simplePos="0" relativeHeight="251660288" behindDoc="0" locked="0" layoutInCell="1" allowOverlap="1" wp14:anchorId="6CE16F3B">
                <wp:simplePos x="0" y="0"/>
                <wp:positionH relativeFrom="column">
                  <wp:posOffset>-15240</wp:posOffset>
                </wp:positionH>
                <wp:positionV relativeFrom="paragraph">
                  <wp:posOffset>172720</wp:posOffset>
                </wp:positionV>
                <wp:extent cx="6400800" cy="0"/>
                <wp:effectExtent l="0" t="0" r="0" b="0"/>
                <wp:wrapThrough wrapText="bothSides">
                  <wp:wrapPolygon edited="0">
                    <wp:start x="-64" y="-2147483648"/>
                    <wp:lineTo x="-64" y="-2147483648"/>
                    <wp:lineTo x="21664" y="-2147483648"/>
                    <wp:lineTo x="21664" y="-2147483648"/>
                    <wp:lineTo x="-64" y="-2147483648"/>
                  </wp:wrapPolygon>
                </wp:wrapThrough>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25400">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chemeClr val="tx1">
                                    <a:lumMod val="100000"/>
                                    <a:lumOff val="0"/>
                                    <a:alpha val="37999"/>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45C83F" id="Line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3.6pt" to="502.8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" strokecolor="black [3213]" strokeweight="2pt">
                <v:shadow color="black [3213]" opacity="24903f" origin=",.5" offset="0,.55556mm"/>
                <o:lock v:ext="edit" shapetype="f"/>
                <w10:wrap type="through"/>
              </v:line>
            </w:pict>
          </mc:Fallback>
        </mc:AlternateContent>
      </w:r>
      <w:r w:rsidR="001E1C41">
        <w:rPr>
          <w:rFonts w:ascii="Book Antiqua" w:hAnsi="Book Antiqua"/>
        </w:rPr>
        <w:t>*Denotes undergraduate</w:t>
      </w:r>
      <w:r w:rsidR="000F58D1">
        <w:rPr>
          <w:rFonts w:ascii="Book Antiqua" w:hAnsi="Book Antiqua"/>
        </w:rPr>
        <w:t xml:space="preserve"> student author</w:t>
      </w:r>
      <w:r w:rsidR="001E1C41">
        <w:rPr>
          <w:rFonts w:ascii="Book Antiqua" w:hAnsi="Book Antiqua"/>
        </w:rPr>
        <w:t xml:space="preserve">, </w:t>
      </w:r>
      <w:r w:rsidR="00D92D01" w:rsidRPr="002162C3">
        <w:rPr>
          <w:rFonts w:ascii="Book Antiqua" w:hAnsi="Book Antiqua"/>
          <w:caps/>
          <w:vertAlign w:val="superscript"/>
        </w:rPr>
        <w:t>‡</w:t>
      </w:r>
      <w:r w:rsidR="002162C3">
        <w:rPr>
          <w:rFonts w:ascii="Book Antiqua" w:hAnsi="Book Antiqua"/>
        </w:rPr>
        <w:t>Denotes professional author</w:t>
      </w:r>
      <w:r w:rsidR="00D92D01" w:rsidRPr="00635467">
        <w:rPr>
          <w:rFonts w:ascii="Book Antiqua" w:hAnsi="Book Antiqua" w:cs="BookAntiqua"/>
          <w:lang w:eastAsia="ko-KR"/>
        </w:rPr>
        <w:t xml:space="preserve"> </w:t>
      </w:r>
    </w:p>
    <w:p w:rsidR="00466348" w:rsidRDefault="00466348">
      <w:pPr>
        <w:jc w:val="center"/>
        <w:rPr>
          <w:rFonts w:ascii="Book Antiqua" w:hAnsi="Book Antiqua" w:cs="Aharoni"/>
          <w:lang w:val="fr-FR"/>
        </w:rPr>
      </w:pPr>
    </w:p>
    <w:p w:rsidR="00BC5097" w:rsidRPr="00635467" w:rsidRDefault="00BC5097">
      <w:pPr>
        <w:jc w:val="center"/>
        <w:rPr>
          <w:rFonts w:ascii="Book Antiqua" w:hAnsi="Book Antiqua" w:cs="Aharoni"/>
          <w:lang w:val="fr-FR"/>
        </w:rPr>
      </w:pPr>
      <w:r w:rsidRPr="00635467">
        <w:rPr>
          <w:rFonts w:ascii="Book Antiqua" w:hAnsi="Book Antiqua" w:cs="Aharoni"/>
          <w:lang w:val="fr-FR"/>
        </w:rPr>
        <w:t>ABSTRACT</w:t>
      </w:r>
    </w:p>
    <w:p w:rsidR="005B4873" w:rsidRDefault="002755E8" w:rsidP="00C900BB">
      <w:pPr>
        <w:jc w:val="both"/>
        <w:rPr>
          <w:rFonts w:ascii="Book Antiqua" w:hAnsi="Book Antiqua"/>
          <w:sz w:val="20"/>
          <w:szCs w:val="20"/>
        </w:rPr>
      </w:pPr>
      <w:r w:rsidRPr="00635467">
        <w:rPr>
          <w:rFonts w:ascii="Book Antiqua" w:hAnsi="Book Antiqua"/>
          <w:b/>
          <w:i/>
        </w:rPr>
        <w:t>International Journ</w:t>
      </w:r>
      <w:r w:rsidR="00DE5C38">
        <w:rPr>
          <w:rFonts w:ascii="Book Antiqua" w:hAnsi="Book Antiqua"/>
          <w:b/>
          <w:i/>
        </w:rPr>
        <w:t xml:space="preserve">al of Exercise Science </w:t>
      </w:r>
      <w:r w:rsidR="00074DEB">
        <w:rPr>
          <w:rFonts w:ascii="Book Antiqua" w:hAnsi="Book Antiqua"/>
          <w:b/>
          <w:i/>
        </w:rPr>
        <w:t>V</w:t>
      </w:r>
      <w:r w:rsidR="00A17FBE" w:rsidRPr="00635467">
        <w:rPr>
          <w:rFonts w:ascii="Book Antiqua" w:hAnsi="Book Antiqua"/>
          <w:b/>
          <w:i/>
        </w:rPr>
        <w:t>(</w:t>
      </w:r>
      <w:r w:rsidR="00074DEB">
        <w:rPr>
          <w:rFonts w:ascii="Book Antiqua" w:hAnsi="Book Antiqua"/>
          <w:b/>
          <w:i/>
        </w:rPr>
        <w:t>i</w:t>
      </w:r>
      <w:r w:rsidR="001B0FBA" w:rsidRPr="00635467">
        <w:rPr>
          <w:rFonts w:ascii="Book Antiqua" w:hAnsi="Book Antiqua"/>
          <w:b/>
          <w:i/>
        </w:rPr>
        <w:t xml:space="preserve">): </w:t>
      </w:r>
      <w:r w:rsidR="00DE5C38">
        <w:rPr>
          <w:rFonts w:ascii="Book Antiqua" w:hAnsi="Book Antiqua"/>
          <w:b/>
          <w:i/>
        </w:rPr>
        <w:t>X</w:t>
      </w:r>
      <w:r w:rsidR="009644C2">
        <w:rPr>
          <w:rFonts w:ascii="Book Antiqua" w:hAnsi="Book Antiqua"/>
          <w:b/>
          <w:i/>
        </w:rPr>
        <w:t>-</w:t>
      </w:r>
      <w:r w:rsidR="00DE5C38">
        <w:rPr>
          <w:rFonts w:ascii="Book Antiqua" w:hAnsi="Book Antiqua"/>
          <w:b/>
          <w:i/>
        </w:rPr>
        <w:t xml:space="preserve">Y, </w:t>
      </w:r>
      <w:r w:rsidR="00074DEB">
        <w:rPr>
          <w:rFonts w:ascii="Book Antiqua" w:hAnsi="Book Antiqua"/>
          <w:b/>
          <w:i/>
        </w:rPr>
        <w:t>YEAR</w:t>
      </w:r>
      <w:r w:rsidRPr="00635467">
        <w:rPr>
          <w:rFonts w:ascii="Book Antiqua" w:hAnsi="Book Antiqua"/>
          <w:b/>
          <w:i/>
        </w:rPr>
        <w:t>.</w:t>
      </w:r>
      <w:r w:rsidRPr="00635467">
        <w:rPr>
          <w:rFonts w:ascii="Book Antiqua" w:hAnsi="Book Antiqua"/>
        </w:rPr>
        <w:t xml:space="preserve"> </w:t>
      </w:r>
    </w:p>
    <w:p w:rsidR="005B4873" w:rsidRPr="00C900BB" w:rsidRDefault="005B4873" w:rsidP="00C900BB">
      <w:pPr>
        <w:jc w:val="both"/>
        <w:rPr>
          <w:rFonts w:ascii="Book Antiqua" w:hAnsi="Book Antiqua"/>
          <w:sz w:val="20"/>
          <w:szCs w:val="20"/>
        </w:rPr>
      </w:pPr>
      <w:r w:rsidRPr="005B4873">
        <w:rPr>
          <w:rFonts w:ascii="Book Antiqua" w:hAnsi="Book Antiqua"/>
          <w:sz w:val="20"/>
          <w:szCs w:val="20"/>
        </w:rPr>
        <w:t>Breast cancer survivors (BCS) experience treatment induced alterations in body composition including the loss of bone mineral density (BMD) and lean soft tissue (LST). These changes can affect the metabolism and the systemic inflammatory environment of BCS. Objective: To evaluate the differences in body composition, resting energy expenditure (REE), and inflammation in BCS and age-matched women without a prior cancer diagnosis (control). Methods: Seventeen post-menopausal BCS (stages 0-III; age: 59±9 years) and 18 (59±6 years) controls had their total body and regional (lumbar spine, femur, and forearm) BMD, LST and fat mass measured via DXA. REE was assessed via 35 minutes of indirect calorimetry. Serum concentrations of human C-reactive protein (CRP) were measured via ELISA to assess inflammation. Data were analyzed via ANOVAs. Results: There were no significant differences between BCS and controls in body composition, metabolic measures and CRP. However, when REE was adjusted for LST, the BCS had a significantly greater REE when compared to the controls (p = 0.015). Discussion: Our findings suggest that BCS that were on average five years into survivorship appear to have similar body composition, and CRP as age-matched women without a prior cancer diagnosis, but significantly different relative REE.</w:t>
      </w:r>
    </w:p>
    <w:p w:rsidR="00BC5097" w:rsidRPr="00C900BB" w:rsidRDefault="00BC5097" w:rsidP="00C900BB">
      <w:pPr>
        <w:rPr>
          <w:rFonts w:ascii="Book Antiqua" w:hAnsi="Book Antiqua"/>
          <w:sz w:val="20"/>
          <w:szCs w:val="20"/>
        </w:rPr>
      </w:pPr>
    </w:p>
    <w:p w:rsidR="005B4873" w:rsidRDefault="00BC5097" w:rsidP="005B4873">
      <w:pPr>
        <w:tabs>
          <w:tab w:val="left" w:pos="3519"/>
        </w:tabs>
        <w:jc w:val="both"/>
        <w:rPr>
          <w:rFonts w:ascii="Book Antiqua" w:eastAsia="Book Antiqua" w:hAnsi="Book Antiqua" w:cs="Book Antiqua"/>
        </w:rPr>
      </w:pPr>
      <w:r w:rsidRPr="00635467">
        <w:rPr>
          <w:rFonts w:ascii="Book Antiqua" w:hAnsi="Book Antiqua" w:cs="Aharoni"/>
        </w:rPr>
        <w:t xml:space="preserve">KEY WORDS: </w:t>
      </w:r>
      <w:r w:rsidR="005B4873">
        <w:rPr>
          <w:rFonts w:ascii="Book Antiqua" w:eastAsia="Book Antiqua" w:hAnsi="Book Antiqua" w:cs="Book Antiqua"/>
        </w:rPr>
        <w:t xml:space="preserve">Metabolism, osteosarcopenic obesity, cancer survivorship, lean soft tissue, </w:t>
      </w:r>
      <w:r w:rsidR="005B4873" w:rsidRPr="005B4873">
        <w:rPr>
          <w:rFonts w:ascii="Book Antiqua" w:eastAsia="Book Antiqua" w:hAnsi="Book Antiqua" w:cs="Book Antiqua"/>
        </w:rPr>
        <w:t>C-reactive protein</w:t>
      </w:r>
      <w:r w:rsidR="005B4873">
        <w:rPr>
          <w:rFonts w:ascii="Book Antiqua" w:eastAsia="Book Antiqua" w:hAnsi="Book Antiqua" w:cs="Book Antiqua"/>
        </w:rPr>
        <w:t xml:space="preserve">. </w:t>
      </w:r>
    </w:p>
    <w:p w:rsidR="005B4873" w:rsidRDefault="005B4873" w:rsidP="005B4873">
      <w:pPr>
        <w:tabs>
          <w:tab w:val="left" w:pos="3519"/>
        </w:tabs>
        <w:jc w:val="both"/>
        <w:rPr>
          <w:rFonts w:ascii="Book Antiqua" w:eastAsia="Book Antiqua" w:hAnsi="Book Antiqua" w:cs="Book Antiqua"/>
        </w:rPr>
      </w:pPr>
    </w:p>
    <w:p w:rsidR="00383B4B" w:rsidRPr="00330561" w:rsidRDefault="00383B4B" w:rsidP="00330561">
      <w:pPr>
        <w:widowControl w:val="0"/>
        <w:autoSpaceDE w:val="0"/>
        <w:autoSpaceDN w:val="0"/>
        <w:adjustRightInd w:val="0"/>
        <w:jc w:val="both"/>
        <w:rPr>
          <w:rFonts w:ascii="Book Antiqua" w:eastAsia="Cambria" w:hAnsi="Book Antiqua" w:cs="Cambria"/>
        </w:rPr>
      </w:pPr>
    </w:p>
    <w:p w:rsidR="00383B4B" w:rsidRDefault="00383B4B">
      <w:pPr>
        <w:rPr>
          <w:rFonts w:ascii="Book Antiqua" w:hAnsi="Book Antiqua"/>
        </w:rPr>
      </w:pPr>
    </w:p>
    <w:p w:rsidR="00380BCF" w:rsidRPr="00635467" w:rsidRDefault="00380BCF">
      <w:pPr>
        <w:rPr>
          <w:rFonts w:ascii="Book Antiqua" w:hAnsi="Book Antiqua"/>
        </w:rPr>
        <w:sectPr w:rsidR="00380BCF" w:rsidRPr="00635467" w:rsidSect="000F58D1">
          <w:headerReference w:type="default" r:id="rId9"/>
          <w:footerReference w:type="even" r:id="rId10"/>
          <w:footerReference w:type="default" r:id="rId11"/>
          <w:pgSz w:w="12240" w:h="15840"/>
          <w:pgMar w:top="1440" w:right="1080" w:bottom="1440" w:left="1080" w:header="720" w:footer="720" w:gutter="0"/>
          <w:cols w:space="720"/>
          <w:titlePg/>
          <w:docGrid w:linePitch="360"/>
        </w:sectPr>
      </w:pPr>
    </w:p>
    <w:p w:rsidR="00BC5097" w:rsidRPr="00635467" w:rsidRDefault="00BC5097">
      <w:pPr>
        <w:pStyle w:val="Heading2"/>
        <w:rPr>
          <w:rFonts w:ascii="Book Antiqua" w:hAnsi="Book Antiqua" w:cs="Aharoni"/>
        </w:rPr>
      </w:pPr>
      <w:r w:rsidRPr="00635467">
        <w:rPr>
          <w:rFonts w:ascii="Book Antiqua" w:hAnsi="Book Antiqua" w:cs="Aharoni"/>
        </w:rPr>
        <w:t>INTRODUCTION</w:t>
      </w:r>
    </w:p>
    <w:p w:rsidR="00272736" w:rsidRDefault="00272736" w:rsidP="005B4873">
      <w:pPr>
        <w:tabs>
          <w:tab w:val="left" w:pos="3519"/>
        </w:tabs>
        <w:jc w:val="both"/>
        <w:rPr>
          <w:rFonts w:ascii="Book Antiqua" w:eastAsia="Book Antiqua" w:hAnsi="Book Antiqua" w:cs="Book Antiqua"/>
        </w:rPr>
      </w:pPr>
    </w:p>
    <w:p w:rsidR="005B4873" w:rsidRDefault="005B4873" w:rsidP="005B4873">
      <w:pPr>
        <w:tabs>
          <w:tab w:val="left" w:pos="3519"/>
        </w:tabs>
        <w:jc w:val="both"/>
        <w:rPr>
          <w:rFonts w:ascii="Book Antiqua" w:eastAsia="Book Antiqua" w:hAnsi="Book Antiqua" w:cs="Book Antiqua"/>
        </w:rPr>
      </w:pPr>
      <w:r w:rsidRPr="00EB5BE3">
        <w:rPr>
          <w:rFonts w:ascii="Book Antiqua" w:eastAsia="Book Antiqua" w:hAnsi="Book Antiqua" w:cs="Book Antiqua"/>
        </w:rPr>
        <w:t xml:space="preserve">Breast cancer is the most prevalent cancer </w:t>
      </w:r>
      <w:r>
        <w:rPr>
          <w:rFonts w:ascii="Book Antiqua" w:eastAsia="Book Antiqua" w:hAnsi="Book Antiqua" w:cs="Book Antiqua"/>
        </w:rPr>
        <w:t>in American women</w:t>
      </w:r>
      <w:r w:rsidRPr="00EB5BE3">
        <w:rPr>
          <w:rFonts w:ascii="Book Antiqua" w:eastAsia="Book Antiqua" w:hAnsi="Book Antiqua" w:cs="Book Antiqua"/>
        </w:rPr>
        <w:t>, with an estimated</w:t>
      </w:r>
      <w:r>
        <w:rPr>
          <w:rFonts w:ascii="Book Antiqua" w:eastAsia="Book Antiqua" w:hAnsi="Book Antiqua" w:cs="Book Antiqua"/>
        </w:rPr>
        <w:t xml:space="preserve"> </w:t>
      </w:r>
      <w:r w:rsidRPr="004E5615">
        <w:rPr>
          <w:rFonts w:ascii="Book Antiqua" w:eastAsia="Book Antiqua" w:hAnsi="Book Antiqua" w:cs="Book Antiqua"/>
        </w:rPr>
        <w:t>26</w:t>
      </w:r>
      <w:r>
        <w:rPr>
          <w:rFonts w:ascii="Book Antiqua" w:eastAsia="Book Antiqua" w:hAnsi="Book Antiqua" w:cs="Book Antiqua"/>
        </w:rPr>
        <w:t>8</w:t>
      </w:r>
      <w:r w:rsidRPr="004E5615">
        <w:rPr>
          <w:rFonts w:ascii="Book Antiqua" w:eastAsia="Book Antiqua" w:hAnsi="Book Antiqua" w:cs="Book Antiqua"/>
        </w:rPr>
        <w:t>,</w:t>
      </w:r>
      <w:r>
        <w:rPr>
          <w:rFonts w:ascii="Book Antiqua" w:eastAsia="Book Antiqua" w:hAnsi="Book Antiqua" w:cs="Book Antiqua"/>
        </w:rPr>
        <w:t>60</w:t>
      </w:r>
      <w:r w:rsidRPr="004E5615">
        <w:rPr>
          <w:rFonts w:ascii="Book Antiqua" w:eastAsia="Book Antiqua" w:hAnsi="Book Antiqua" w:cs="Book Antiqua"/>
        </w:rPr>
        <w:t>0</w:t>
      </w:r>
      <w:r w:rsidRPr="00EB5BE3">
        <w:rPr>
          <w:rFonts w:ascii="Book Antiqua" w:eastAsia="Book Antiqua" w:hAnsi="Book Antiqua" w:cs="Book Antiqua"/>
        </w:rPr>
        <w:t xml:space="preserve"> new </w:t>
      </w:r>
      <w:r>
        <w:rPr>
          <w:rFonts w:ascii="Book Antiqua" w:eastAsia="Book Antiqua" w:hAnsi="Book Antiqua" w:cs="Book Antiqua"/>
        </w:rPr>
        <w:t>cases and 41</w:t>
      </w:r>
      <w:r w:rsidRPr="00EB5BE3">
        <w:rPr>
          <w:rFonts w:ascii="Book Antiqua" w:eastAsia="Book Antiqua" w:hAnsi="Book Antiqua" w:cs="Book Antiqua"/>
        </w:rPr>
        <w:t>,</w:t>
      </w:r>
      <w:r>
        <w:rPr>
          <w:rFonts w:ascii="Book Antiqua" w:eastAsia="Book Antiqua" w:hAnsi="Book Antiqua" w:cs="Book Antiqua"/>
        </w:rPr>
        <w:t>760</w:t>
      </w:r>
      <w:r w:rsidRPr="00EB5BE3">
        <w:rPr>
          <w:rFonts w:ascii="Book Antiqua" w:eastAsia="Book Antiqua" w:hAnsi="Book Antiqua" w:cs="Book Antiqua"/>
        </w:rPr>
        <w:t xml:space="preserve"> </w:t>
      </w:r>
      <w:r>
        <w:rPr>
          <w:rFonts w:ascii="Book Antiqua" w:eastAsia="Book Antiqua" w:hAnsi="Book Antiqua" w:cs="Book Antiqua"/>
        </w:rPr>
        <w:t>deaths projected in 2019</w:t>
      </w:r>
      <w:r w:rsidRPr="00EB5BE3">
        <w:rPr>
          <w:rFonts w:ascii="Book Antiqua" w:eastAsia="Book Antiqua" w:hAnsi="Book Antiqua" w:cs="Book Antiqua"/>
        </w:rPr>
        <w:t xml:space="preserve">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{"citationItems":[{"id":"ITEM-1","itemData":{"DOI":"10.3322/caac.21551","ISSN":"00079235","PMID":"30620402","abstract":"Each year, the American Cancer Society estimates the numbers of new cancer cases and deaths that will occur in the United States and compiles the most recent data on cancer incidence, mortality, and survival. Incidence data, available through 2015, were collected by the Surveillance, Epidemiology, and End Results Program; the National Program of Cancer Registries; and the North American Association of Central Cancer Registries. Mortality data, available through 2016, were collected by the National Center for Health Statistics. In 2019, 1,762,450 new cancer cases and 606,880 cancer deaths are projected to occur in the United States. Over the past decade of data, the cancer incidence rate (2006-2015) was stable in women and declined by approximately 2% per year in men, whereas the cancer death rate (2007-2016) declined annually by 1.4% and 1.8%, respectively. The overall cancer death rate dropped continuously from 1991 to 2016 by a total of 27%, translating into approximately 2,629,200 fewer cancer deaths than would have been expected if death rates had remained at their peak. Although the racial gap in cancer mortality is slowly narrowing, socioeconomic inequalities are widening, with the most notable gaps for the most preventable cancers. For example, compared with the most affluent counties, mortality rates in the poorest counties were 2-fold higher for cervical cancer and 40% higher for male lung and liver cancers during 2012-2016. Some states are home to both the wealthiest and the poorest counties, suggesting the opportunity for more equitable dissemination of effective cancer prevention, early detection, and treatment strategies. A broader application of existing cancer control knowledge with an emphasis on disadvantaged groups would undoubtedly accelerate progress against cancer.","author":[{"dropping-particle":"","family":"Siegel","given":"Rebecca L.","non-dropping-particle":"","parse-names":false,"suffix":""},{"dropping-particle":"","family":"Miller","given":"Kimberly D.","non-dropping-particle":"","parse-names":false,"suffix":""},{"dropping-particle":"","family":"Jemal","given":"Ahmedin","non-dropping-particle":"","parse-names":false,"suffix":""}],"container-title":"CA: A Cancer Journal for Clinicians","id":"ITEM-1","issue":"1","issued":{"date-parts":[["2019","1"]]},"page":"7-34","title":"Cancer statistics, 2019","type":"article-journal","volume":"69"},"uris":["http://www.mendeley.com/documents/?uuid=47919b90-bfb3-3ca8-9df7-c3699b35fa31"]}],"mendeley":{"formattedCitation":"(43)","plainTextFormattedCitation":"(43)","previouslyFormattedCitation":"(42)"},"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(43)</w:t>
      </w:r>
      <w:r>
        <w:rPr>
          <w:rFonts w:ascii="Book Antiqua" w:eastAsia="Book Antiqua" w:hAnsi="Book Antiqua" w:cs="Book Antiqua"/>
        </w:rPr>
        <w:fldChar w:fldCharType="end"/>
      </w:r>
      <w:r w:rsidRPr="00EB5BE3">
        <w:rPr>
          <w:rFonts w:ascii="Book Antiqua" w:eastAsia="Book Antiqua" w:hAnsi="Book Antiqua" w:cs="Book Antiqua"/>
        </w:rPr>
        <w:t>.</w:t>
      </w:r>
      <w:r>
        <w:rPr>
          <w:rFonts w:ascii="Book Antiqua" w:eastAsia="Book Antiqua" w:hAnsi="Book Antiqua" w:cs="Book Antiqua"/>
        </w:rPr>
        <w:t xml:space="preserve"> Although mortality rates have been declining over the decades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{"citationItems":[{"id":"ITEM-1","itemData":{"DOI":"10.3322/caac.21551","ISSN":"00079235","PMID":"30620402","abstract":"Each year, the American Cancer Society estimates the numbers of new cancer cases and deaths that will occur in the United States and compiles the most recent data on cancer incidence, mortality, and survival. Incidence data, available through 2015, were collected by the Surveillance, Epidemiology, and End Results Program; the National Program of Cancer Registries; and the North American Association of Central Cancer Registries. Mortality data, available through 2016, were collected by the National Center for Health Statistics. In 2019, 1,762,450 new cancer cases and 606,880 cancer deaths are projected to occur in the United States. Over the past decade of data, the cancer incidence rate (2006-2015) was stable in women and declined by approximately 2% per year in men, whereas the cancer death rate (2007-2016) declined annually by 1.4% and 1.8%, respectively. The overall cancer death rate dropped continuously from 1991 to 2016 by a total of 27%, translating into approximately 2,629,200 fewer cancer deaths than would have been expected if death rates had remained at their peak. Although the racial gap in cancer mortality is slowly narrowing, socioeconomic inequalities are widening, with the most notable gaps for the most preventable cancers. For example, compared with the most affluent counties, mortality rates in the poorest counties were 2-fold higher for cervical cancer and 40% higher for male lung and liver cancers during 2012-2016. Some states are home to both the wealthiest and the poorest counties, suggesting the opportunity for more equitable dissemination of effective cancer prevention, early detection, and treatment strategies. A broader application of existing cancer control knowledge with an emphasis on disadvantaged groups would undoubtedly accelerate progress against cancer.","author":[{"dropping-particle":"","family":"Siegel","given":"Rebecca L.","non-dropping-particle":"","parse-names":false,"suffix":""},{"dropping-particle":"","family":"Miller","given":"Kimberly D.","non-dropping-particle":"","parse-names":false,"suffix":""},{"dropping-particle":"","family":"Jemal","given":"Ahmedin","non-dropping-particle":"","parse-names":false,"suffix":""}],"container-title":"CA: A Cancer Journal for Clinicians","id":"ITEM-1","issue":"1","issued":{"date-parts":[["2019","1"]]},"page":"7-34","title":"Cancer statistics, 2019","type":"article-journal","volume":"69"},"uris":["http://www.mendeley.com/documents/?uuid=47919b90-bfb3-3ca8-9df7-c3699b35fa31"]}],"mendeley":{"formattedCitation":"(43)","plainTextFormattedCitation":"(43)","previouslyFormattedCitation":"(42)"},"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(43)</w:t>
      </w:r>
      <w:r>
        <w:rPr>
          <w:rFonts w:ascii="Book Antiqua" w:eastAsia="Book Antiqua" w:hAnsi="Book Antiqua" w:cs="Book Antiqua"/>
        </w:rPr>
        <w:fldChar w:fldCharType="end"/>
      </w:r>
      <w:r>
        <w:rPr>
          <w:rFonts w:ascii="Book Antiqua" w:eastAsia="Book Antiqua" w:hAnsi="Book Antiqua" w:cs="Book Antiqua"/>
        </w:rPr>
        <w:t xml:space="preserve"> as a result of increased early detection</w:t>
      </w:r>
      <w:r w:rsidRPr="00EB5BE3">
        <w:rPr>
          <w:rFonts w:ascii="Book Antiqua" w:eastAsia="Book Antiqua" w:hAnsi="Book Antiqua" w:cs="Book Antiqua"/>
        </w:rPr>
        <w:t xml:space="preserve"> </w:t>
      </w:r>
      <w:r>
        <w:rPr>
          <w:rFonts w:ascii="Book Antiqua" w:eastAsia="Book Antiqua" w:hAnsi="Book Antiqua" w:cs="Book Antiqua"/>
        </w:rPr>
        <w:t xml:space="preserve">and improvements in treatment, </w:t>
      </w:r>
      <w:r w:rsidRPr="00EB5BE3">
        <w:rPr>
          <w:rFonts w:ascii="Book Antiqua" w:eastAsia="Book Antiqua" w:hAnsi="Book Antiqua" w:cs="Book Antiqua"/>
        </w:rPr>
        <w:t xml:space="preserve">breast cancer survivors (BCS) </w:t>
      </w:r>
      <w:r>
        <w:rPr>
          <w:rFonts w:ascii="Book Antiqua" w:eastAsia="Book Antiqua" w:hAnsi="Book Antiqua" w:cs="Book Antiqua"/>
        </w:rPr>
        <w:t xml:space="preserve">are often left to live with treatment related side effects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{"citationItems":[{"id":"ITEM-1","itemData":{"DOI":"10.1097/MCO.0b013e3283455d45; 10.1097/MCO.0b013e3283455d45","ISBN":"1473-6519; 1363-1950","PMID":"21415735","abstract":"PURPOSE OF REVIEW: A common feature of cancer patients is loss of lean tissue, specifically skeletal muscle, which may be the result of the tumor or a side-effect of chemotherapy or other drugs. Lean tissue loss in turn has important adverse implications for toxicity of antineoplastic therapy and, hence, cancer prognosis. RECENT FINDINGS: Contemporary cancer populations have heterogeneous proportions of lean tissue, regardless of body weight. Wasting of lean tissue during the cancer trajectory has been associated with tumor progression. Lean tissue depletion is an independent predictor of severe toxicity in patients treated with chemotherapeutic agents of diverse classes. Patients with lean tissue depletion behave as if overdosed and have toxicity of sufficient magnitude to require dose reductions, treatment delays or definitive termination of treatment. Muscle loss may occur due to a specific effect of a chemotherapy agent (i.e. sorafenib), androgen suppression therapy or other drugs (i.e. statins such as atorvastatin). SUMMARY: Lean tissue wasting occurs due to cancer progression and may be exacerbated by several drug classes. This loss of lean tissue is not proportional to changes in body weight and is prognostic of enhanced treatment toxicity and reduced survival.","author":[{"dropping-particle":"","family":"Prado","given":"C M","non-dropping-particle":"","parse-names":false,"suffix":""},{"dropping-particle":"","family":"Antoun","given":"S","non-dropping-particle":"","parse-names":false,"suffix":""},{"dropping-particle":"","family":"Sawyer","given":"M B","non-dropping-particle":"","parse-names":false,"suffix":""},{"dropping-particle":"","family":"Baracos","given":"V E","non-dropping-particle":"","parse-names":false,"suffix":""}],"container-title":"Current opinion in clinical nutrition and metabolic care","id":"ITEM-1","issue":"3","issued":{"date-parts":[["2011","5"]]},"note":"LR: 20111209; GR: Canadian Institutes of Health Research/Canada; JID: 9804399; 0 (Antineoplastic Agents); ppublish","page":"250-254","title":"Two faces of drug therapy in cancer: drug-related lean tissue loss and its adverse consequences to survival and toxicity","type":"article-journal","volume":"14"},"uris":["http://www.mendeley.com/documents/?uuid=f50a8dc5-e7c9-4a94-97dd-031d03449aa4"]},{"id":"ITEM-2","itemData":{"DOI":"10.1210/jc.2003-031874","ISSN":"0021-972X","PMID":"15126549","abstract":"Uncontrolled trials have reported significant weight gain in women with breast cancer during treatment with adjuvant chemotherapy. We prospectively evaluated body composition before (visit 1), immediately after (visit 2), and 6 months after (visit 3) chemotherapy in 20 women with stages I-IIIA breast cancer [body mass index (BMI): 24.1 +/- 3.9 kg/m(2)]. We compared their weight change to 51 age- and BMI-matched healthy controls (BMI: 25.5 +/- 3.8 kg/m(2)). In women with breast cancer, there was no weight change from visit 1-2, or from visit 1-3, but weight increased from visit 2-3 (+1.09 +/- 2.46 kg; P = 0.05). Weight change was not different from controls during either interval. In the breast cancer group, the percentage of body fat assessed by air displacement plethysmography increased, and fat-free mass decreased from visit 1-2 (+2.3 +/- 4% and -2.2 +/- 4%; P = 0.02) and from visit 1-3 (+4.0 +/- 6% and -3.8 +/- 6%; P = 0.01). By dual energy x-ray absorptiometry, the percentage of body fat increased from visit 2-3 (+0.9 +/- 1.6%; P = 0.02). Bone mineral content decreased from visit 2-3 (-0.02 +/- 0.04 kg; P = 0.02) and from visit 1-3 (-0.04 +/- 0.06 kg; P = 0.005). By computed tomography, the visceral adipose to sc adipose tissue ratio decreased from visit 1-3 (-0.02 +/- 0.05 ml; P = 0.02). We conclude that, compared with controls, women with breast cancer receiving modern adjuvant chemotherapy regimens show no significant changes in weight during the first year of their treatment. They do, however, appear to undergo unfavorable changes in body composition.","author":[{"dropping-particle":"","family":"Freedman","given":"R J","non-dropping-particle":"","parse-names":false,"suffix":""},{"dropping-particle":"","family":"Aziz","given":"N","non-dropping-particle":"","parse-names":false,"suffix":""},{"dropping-particle":"","family":"Albanes","given":"D","non-dropping-particle":"","parse-names":false,"suffix":""},{"dropping-particle":"","family":"Hartman","given":"T","non-dropping-particle":"","parse-names":false,"suffix":""},{"dropping-particle":"","family":"Danforth","given":"D","non-dropping-particle":"","parse-names":false,"suffix":""},{"dropping-particle":"","family":"Hill","given":"S","non-dropping-particle":"","parse-names":false,"suffix":""},{"dropping-particle":"","family":"Sebring","given":"N","non-dropping-particle":"","parse-names":false,"suffix":""},{"dropping-particle":"","family":"Reynolds","given":"J C","non-dropping-particle":"","parse-names":false,"suffix":""},{"dropping-particle":"","family":"Yanovski","given":"J A","non-dropping-particle":"","parse-names":false,"suffix":""}],"container-title":"The Journal of clinical endocrinology and metabolism","id":"ITEM-2","issue":"5","issued":{"date-parts":[["2004","5"]]},"page":"2248-53","title":"Weight and body composition changes during and after adjuvant chemotherapy in women with breast cancer.","type":"article-journal","volume":"89"},"uris":["http://www.mendeley.com/documents/?uuid=f860dd78-2e2f-3642-a80d-f8093130f2a1"]},{"id":"ITEM-3","itemData":{"DOI":"10.1007/s10549-012-2200-8","ISSN":"0167-6806","PMID":"22903689","abstract":"Body composition changes cannot be precisely captured using body weight or body mass index measures. Therefore, the primary purpose of this review was to characterize the patterns of body composition change in females treated for breast cancer including only studies that utilize imaging technologies to quantify adipose tissue and lean body mass (LBM). We reviewed PubMed for studies published between 1971 and 2012 involving females diagnosed with breast cancer where computed axial tomography , dual-energy X-ray absorptiometry, or magnetic resonance imaging were employed for body composition assessment. Of the initial 440 studies, 106 papers were evaluated and 36 papers met all eligibility criteria (15 observational and 21 intervention trials). Results of these studies revealed that body weight did not consistently increase. Importantly, studies also showed that body weight did not accurately depict changes in lean or adipose tissues. Further findings included that sarcopenic obesity as a consequence of breast cancer treatment was not definitive, as menopausal status may be a substantial moderator of body composition. Overall, the behavioral interventions did not exhibit consistent or profound effects on body composition outcomes; approximately half showed favorable influence on adiposity while the effects on LBM were not apparent. The use of tamoxifen had a clear negative impact on body composition. The majority of studies were conducted in predominantly white survivors, highlighting the need for trials in minority populations. Collectively, these studies were limited by age, race, and/or menopause status matched control groups, overall size, and statistical power. Very few studies simultaneously collected diet and exercise data-two potential factors that impact body composition. Future breast cancer trials should prioritize precise body composition methodologies to elucidate how these changes impact recurrence, prognosis, and mortality, and to provide clinicians with appropriate advice regarding lifestyle recommendations in this growing sector of the population.","author":[{"dropping-particle":"","family":"Sheean","given":"Patricia M.","non-dropping-particle":"","parse-names":false,"suffix":""},{"dropping-particle":"","family":"Hoskins","given":"Kent","non-dropping-particle":"","parse-names":false,"suffix":""},{"dropping-particle":"","family":"Stolley","given":"Melinda","non-dropping-particle":"","parse-names":false,"suffix":""}],"container-title":"Breast Cancer Research and Treatment","id":"ITEM-3","issue":"3","issued":{"date-parts":[["2012","10","19"]]},"page":"663-680","title":"Body composition changes in females treated for breast cancer: a review of the evidence","type":"article-journal","volume":"135"},"uris":["http://www.mendeley.com/documents/?uuid=9c3f22f1-a132-3788-a3f7-07ce191291c5"]}],"mendeley":{"formattedCitation":"(18,38,42)","plainTextFormattedCitation":"(18,38,42)","previouslyFormattedCitation":"(18,37,41)"},"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(18,38,42)</w:t>
      </w:r>
      <w:r>
        <w:rPr>
          <w:rFonts w:ascii="Book Antiqua" w:eastAsia="Book Antiqua" w:hAnsi="Book Antiqua" w:cs="Book Antiqua"/>
        </w:rPr>
        <w:fldChar w:fldCharType="end"/>
      </w:r>
      <w:r w:rsidRPr="00EB5BE3">
        <w:rPr>
          <w:rFonts w:ascii="Book Antiqua" w:eastAsia="Book Antiqua" w:hAnsi="Book Antiqua" w:cs="Book Antiqua"/>
        </w:rPr>
        <w:t xml:space="preserve">. </w:t>
      </w:r>
      <w:r>
        <w:rPr>
          <w:rFonts w:ascii="Book Antiqua" w:eastAsia="Book Antiqua" w:hAnsi="Book Antiqua" w:cs="Book Antiqua"/>
        </w:rPr>
        <w:t xml:space="preserve">Among these side effects, include the acceleration of the negative age-related changes in body </w:t>
      </w:r>
      <w:r>
        <w:rPr>
          <w:rFonts w:ascii="Book Antiqua" w:eastAsia="Book Antiqua" w:hAnsi="Book Antiqua" w:cs="Book Antiqua"/>
        </w:rPr>
        <w:lastRenderedPageBreak/>
        <w:t xml:space="preserve">composition, specifically </w:t>
      </w:r>
      <w:r w:rsidRPr="00EB5BE3">
        <w:rPr>
          <w:rFonts w:ascii="Book Antiqua" w:eastAsia="Book Antiqua" w:hAnsi="Book Antiqua" w:cs="Book Antiqua"/>
        </w:rPr>
        <w:t xml:space="preserve">the loss of both bone mineral density (BMD) and lean </w:t>
      </w:r>
      <w:r>
        <w:rPr>
          <w:rFonts w:ascii="Book Antiqua" w:eastAsia="Book Antiqua" w:hAnsi="Book Antiqua" w:cs="Book Antiqua"/>
        </w:rPr>
        <w:t xml:space="preserve">soft tissue </w:t>
      </w:r>
      <w:r w:rsidRPr="00C64000">
        <w:rPr>
          <w:rFonts w:ascii="Book Antiqua" w:eastAsia="Book Antiqua" w:hAnsi="Book Antiqua" w:cs="Book Antiqua"/>
        </w:rPr>
        <w:t>(LST) w</w:t>
      </w:r>
      <w:r w:rsidRPr="00EB5BE3">
        <w:rPr>
          <w:rFonts w:ascii="Book Antiqua" w:eastAsia="Book Antiqua" w:hAnsi="Book Antiqua" w:cs="Book Antiqua"/>
        </w:rPr>
        <w:t>ith the concurrent increase in fat mass</w:t>
      </w:r>
      <w:r>
        <w:rPr>
          <w:rFonts w:ascii="Book Antiqua" w:eastAsia="Book Antiqua" w:hAnsi="Book Antiqua" w:cs="Book Antiqua"/>
        </w:rPr>
        <w:t xml:space="preserve">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{"citationItems":[{"id":"ITEM-1","itemData":{"DOI":"10.1007/s10549-012-2200-8","ISSN":"0167-6806","PMID":"22903689","abstract":"Body composition changes cannot be precisely captured using body weight or body mass index measures. Therefore, the primary purpose of this review was to characterize the patterns of body composition change in females treated for breast cancer including only studies that utilize imaging technologies to quantify adipose tissue and lean body mass (LBM). We reviewed PubMed for studies published between 1971 and 2012 involving females diagnosed with breast cancer where computed axial tomography , dual-energy X-ray absorptiometry, or magnetic resonance imaging were employed for body composition assessment. Of the initial 440 studies, 106 papers were evaluated and 36 papers met all eligibility criteria (15 observational and 21 intervention trials). Results of these studies revealed that body weight did not consistently increase. Importantly, studies also showed that body weight did not accurately depict changes in lean or adipose tissues. Further findings included that sarcopenic obesity as a consequence of breast cancer treatment was not definitive, as menopausal status may be a substantial moderator of body composition. Overall, the behavioral interventions did not exhibit consistent or profound effects on body composition outcomes; approximately half showed favorable influence on adiposity while the effects on LBM were not apparent. The use of tamoxifen had a clear negative impact on body composition. The majority of studies were conducted in predominantly white survivors, highlighting the need for trials in minority populations. Collectively, these studies were limited by age, race, and/or menopause status matched control groups, overall size, and statistical power. Very few studies simultaneously collected diet and exercise data-two potential factors that impact body composition. Future breast cancer trials should prioritize precise body composition methodologies to elucidate how these changes impact recurrence, prognosis, and mortality, and to provide clinicians with appropriate advice regarding lifestyle recommendations in this growing sector of the population.","author":[{"dropping-particle":"","family":"Sheean","given":"Patricia M.","non-dropping-particle":"","parse-names":false,"suffix":""},{"dropping-particle":"","family":"Hoskins","given":"Kent","non-dropping-particle":"","parse-names":false,"suffix":""},{"dropping-particle":"","family":"Stolley","given":"Melinda","non-dropping-particle":"","parse-names":false,"suffix":""}],"container-title":"Breast Cancer Research and Treatment","id":"ITEM-1","issue":"3","issued":{"date-parts":[["2012","10","19"]]},"page":"663-680","title":"Body composition changes in females treated for breast cancer: a review of the evidence","type":"article-journal","volume":"135"},"uris":["http://www.mendeley.com/documents/?uuid=9c3f22f1-a132-3788-a3f7-07ce191291c5"]}],"mendeley":{"formattedCitation":"(42)","plainTextFormattedCitation":"(42)","previouslyFormattedCitation":"(41)"},"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(42)</w:t>
      </w:r>
      <w:r>
        <w:rPr>
          <w:rFonts w:ascii="Book Antiqua" w:eastAsia="Book Antiqua" w:hAnsi="Book Antiqua" w:cs="Book Antiqua"/>
        </w:rPr>
        <w:fldChar w:fldCharType="end"/>
      </w:r>
      <w:r>
        <w:rPr>
          <w:rFonts w:ascii="Book Antiqua" w:eastAsia="Book Antiqua" w:hAnsi="Book Antiqua" w:cs="Book Antiqua"/>
        </w:rPr>
        <w:t xml:space="preserve">. </w:t>
      </w:r>
    </w:p>
    <w:p w:rsidR="005B4873" w:rsidRDefault="005B4873" w:rsidP="005B4873">
      <w:pPr>
        <w:tabs>
          <w:tab w:val="left" w:pos="3519"/>
        </w:tabs>
        <w:jc w:val="both"/>
        <w:rPr>
          <w:rFonts w:ascii="Book Antiqua" w:eastAsia="Book Antiqua" w:hAnsi="Book Antiqua" w:cs="Book Antiqua"/>
        </w:rPr>
      </w:pPr>
    </w:p>
    <w:p w:rsidR="005B4873" w:rsidRPr="00EB5BE3" w:rsidRDefault="005B4873" w:rsidP="005B4873">
      <w:pPr>
        <w:tabs>
          <w:tab w:val="left" w:pos="3519"/>
        </w:tabs>
        <w:jc w:val="both"/>
        <w:rPr>
          <w:rFonts w:ascii="Book Antiqua" w:eastAsia="Book Antiqua" w:hAnsi="Book Antiqua" w:cs="Book Antiqua"/>
        </w:rPr>
      </w:pPr>
      <w:r>
        <w:rPr>
          <w:rFonts w:ascii="Book Antiqua" w:eastAsia="Book Antiqua" w:hAnsi="Book Antiqua" w:cs="Book Antiqua"/>
        </w:rPr>
        <w:t xml:space="preserve">Cancer treatments directly and indirectly increase bone loss and thus the progression to osteopenia and/or osteoporosis through </w:t>
      </w:r>
      <w:r w:rsidRPr="00474019">
        <w:rPr>
          <w:rFonts w:ascii="Book Antiqua" w:eastAsia="Book Antiqua" w:hAnsi="Book Antiqua" w:cs="Book Antiqua"/>
        </w:rPr>
        <w:t>various physiologic</w:t>
      </w:r>
      <w:r>
        <w:rPr>
          <w:rFonts w:ascii="Book Antiqua" w:eastAsia="Book Antiqua" w:hAnsi="Book Antiqua" w:cs="Book Antiqua"/>
        </w:rPr>
        <w:t xml:space="preserve"> mechanisms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{"citationItems":[{"id":"ITEM-1","itemData":{"DOI":"10.2146/ajhp050045.p1","ISSN":"1079-2082","PMID":"16484516","abstract":"PURPOSE The pathophysiology, frequency, sequelae, diagnosis, and treatment of cancer-treatment-induced bone loss (CTIBL) are discussed. SUMMARY CTIBL is a long-term complication associated with cancer therapies that can directly or indirectly affect bone metabolism. Although CTIBL can occur in any patient receiving a cancer therapy known to cause bone loss, CTIBL is most common in patients with breast or prostate cancer who receive chemotherapy, hormone therapy, or surgical castration, as these can cause hypogonadism and induce bone loss. CTIBL causes bone fragility and an increased susceptibility to fractures; therefore, prevention, early diagnosis, and treatment of CTIBL are essential to decrease the risk of fracture. Bone loss occurs more rapidly and tends to be more severe in patients with CTIBL compared with those with normal age-related bone loss. Fractures of the hip, vertebra, and wrist are the fractures most commonly associated with bone loss. CTIBL is diagnosed by measuring bone mass using bone densitometry. Treatment of CTIBL consists of changing diet and lifestyle such as optimizing calcium and vitamin D intake, exercising, modifying behaviors known to increase the risk of CTIBL and pharmacologic therapy with hormone replacement therapy (HRT), selective estrogen-receptor modifiers (SERMs), calcitonin, or a bisphosphonate. CONCLUSION Early identification and treatment of CTIBL are essential to prevent fractures. Patients should be instructed to optimize calcium and vitamin D intake, exercise regularly, and modify lifestyle behaviors known to cause bone loss. Patients with CTIBL should be treated with an oral or i.v. bisphosphonate; SERMs or HRT may be an option in some patients if contraindications do not exist.","author":[{"dropping-particle":"","family":"Michaud","given":"L. B.","non-dropping-particle":"","parse-names":false,"suffix":""},{"dropping-particle":"","family":"Goodin","given":"Susan","non-dropping-particle":"","parse-names":false,"suffix":""}],"container-title":"American Journal of Health-System Pharmacy","id":"ITEM-1","issue":"5","issued":{"date-parts":[["2006","3","1"]]},"page":"419-430","title":"Cancer-treatment-induced bone loss, part 1","type":"article-journal","volume":"63"},"uris":["http://www.mendeley.com/documents/?uuid=f4d1ac28-8ca2-3abf-8eb9-f9206e90848b"]}],"mendeley":{"formattedCitation":"(32)","plainTextFormattedCitation":"(32)","previouslyFormattedCitation":"(31)"},"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(32)</w:t>
      </w:r>
      <w:r>
        <w:rPr>
          <w:rFonts w:ascii="Book Antiqua" w:eastAsia="Book Antiqua" w:hAnsi="Book Antiqua" w:cs="Book Antiqua"/>
        </w:rPr>
        <w:fldChar w:fldCharType="end"/>
      </w:r>
      <w:r>
        <w:rPr>
          <w:rFonts w:ascii="Book Antiqua" w:eastAsia="Book Antiqua" w:hAnsi="Book Antiqua" w:cs="Book Antiqua"/>
        </w:rPr>
        <w:t xml:space="preserve">. </w:t>
      </w:r>
      <w:r w:rsidRPr="00EB5BE3">
        <w:rPr>
          <w:rFonts w:ascii="Book Antiqua" w:eastAsia="Book Antiqua" w:hAnsi="Book Antiqua" w:cs="Book Antiqua"/>
        </w:rPr>
        <w:t xml:space="preserve">Bone turnover increases in favor of bone resorption as adjuvant chemotherapy agents directly interrupt the normal bone remodeling process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{"citationItems":[{"id":"ITEM-1","itemData":{"DOI":"10.2146/ajhp050045.p1","ISSN":"1079-2082","PMID":"16484516","abstract":"PURPOSE The pathophysiology, frequency, sequelae, diagnosis, and treatment of cancer-treatment-induced bone loss (CTIBL) are discussed. SUMMARY CTIBL is a long-term complication associated with cancer therapies that can directly or indirectly affect bone metabolism. Although CTIBL can occur in any patient receiving a cancer therapy known to cause bone loss, CTIBL is most common in patients with breast or prostate cancer who receive chemotherapy, hormone therapy, or surgical castration, as these can cause hypogonadism and induce bone loss. CTIBL causes bone fragility and an increased susceptibility to fractures; therefore, prevention, early diagnosis, and treatment of CTIBL are essential to decrease the risk of fracture. Bone loss occurs more rapidly and tends to be more severe in patients with CTIBL compared with those with normal age-related bone loss. Fractures of the hip, vertebra, and wrist are the fractures most commonly associated with bone loss. CTIBL is diagnosed by measuring bone mass using bone densitometry. Treatment of CTIBL consists of changing diet and lifestyle such as optimizing calcium and vitamin D intake, exercising, modifying behaviors known to increase the risk of CTIBL and pharmacologic therapy with hormone replacement therapy (HRT), selective estrogen-receptor modifiers (SERMs), calcitonin, or a bisphosphonate. CONCLUSION Early identification and treatment of CTIBL are essential to prevent fractures. Patients should be instructed to optimize calcium and vitamin D intake, exercise regularly, and modify lifestyle behaviors known to cause bone loss. Patients with CTIBL should be treated with an oral or i.v. bisphosphonate; SERMs or HRT may be an option in some patients if contraindications do not exist.","author":[{"dropping-particle":"","family":"Michaud","given":"L. B.","non-dropping-particle":"","parse-names":false,"suffix":""},{"dropping-particle":"","family":"Goodin","given":"Susan","non-dropping-particle":"","parse-names":false,"suffix":""}],"container-title":"American Journal of Health-System Pharmacy","id":"ITEM-1","issue":"5","issued":{"date-parts":[["2006","3","1"]]},"page":"419-430","title":"Cancer-treatment-induced bone loss, part 1","type":"article-journal","volume":"63"},"uris":["http://www.mendeley.com/documents/?uuid=f4d1ac28-8ca2-3abf-8eb9-f9206e90848b"]},{"id":"ITEM-2","itemData":{"ISSN":"0021-9355","PMID":"6707039","abstract":"UNLABELLED Wistar-Lewis rats received therapeutic doses of doxorubicin or methotrexate daily for five days, were pulse-labeled with a fluorescent compound (calcein) on the seventh and thirteenth days, and were killed fourteen days after initiation of the protocol. Proximal tail vertebrae were then evaluated histomorphometrically, and the effects of the chemotherapeutic agents on trabecular bone were quantitated with respect to changes in total bone mass, new-bone formation, and resorption. Short-term administration of methotrexate caused a 26.9 per cent reduction in net trabecular bone volume and doxorubicin, an 11.5 per cent decrease. Both drugs significantly and profoundly diminished bone-formation rates by nearly 60 per cent. The toxic effect on osteoblasts was also reflected in reduced volume and thickness of osteoid, but the total numbers of osteoblasts and the per cent of trabecular surface covered by bone-forming cells were not affected. The numbers of osteoclasts and the extent of their activity were not clearly different from those in untreated rats, but rates of resorption were not determined. The effects of chronic treatment with these chemotherapeutic agents on intact, fractured, and transplanted bone and the biomechanical significance of these changes has not yet been evaluated. CLINICAL RELEVANCE Chemotherapeutic agents have an adverse effect on normal physiological bone turnover, especially osteoblastic activity, and would also be expected to alter fracture-healing and bone-allograft incorporation by these same mechanisms. Knowledge of these changes and efforts to favorably affect the remodeling cycle must address these specific defects before bone allografts can be reliably used and fracture-healing can be improved concomitant with chemotherapy.","author":[{"dropping-particle":"","family":"Friedlaender","given":"G E","non-dropping-particle":"","parse-names":false,"suffix":""},{"dropping-particle":"","family":"Tross","given":"R B","non-dropping-particle":"","parse-names":false,"suffix":""},{"dropping-particle":"","family":"Doganis","given":"A C","non-dropping-particle":"","parse-names":false,"suffix":""},{"dropping-particle":"","family":"Kirkwood","given":"J M","non-dropping-particle":"","parse-names":false,"suffix":""},{"dropping-particle":"","family":"Baron","given":"R","non-dropping-particle":"","parse-names":false,"suffix":""}],"container-title":"The Journal of bone and joint surgery. American volume","id":"ITEM-2","issue":"4","issued":{"date-parts":[["1984","4"]]},"page":"602-7","title":"Effects of chemotherapeutic agents on bone. I. Short-term methotrexate and doxorubicin (adriamycin) treatment in a rat model.","type":"article-journal","volume":"66"},"uris":["http://www.mendeley.com/documents/?uuid=7bc92679-7fd8-3936-b88b-3d8cb2fc3b7a"]}],"mendeley":{"formattedCitation":"(19,32)","plainTextFormattedCitation":"(19,32)","previouslyFormattedCitation":"(19,31)"},"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(19,32)</w:t>
      </w:r>
      <w:r>
        <w:rPr>
          <w:rFonts w:ascii="Book Antiqua" w:eastAsia="Book Antiqua" w:hAnsi="Book Antiqua" w:cs="Book Antiqua"/>
        </w:rPr>
        <w:fldChar w:fldCharType="end"/>
      </w:r>
      <w:r>
        <w:rPr>
          <w:rFonts w:ascii="Book Antiqua" w:eastAsia="Book Antiqua" w:hAnsi="Book Antiqua" w:cs="Book Antiqua"/>
        </w:rPr>
        <w:t>. Cancer therapies also affect bone through the reduction in circulating estrogen, the hormone that plays a role in increasing bone formation through increasing osteoblast acti</w:t>
      </w:r>
      <w:r w:rsidRPr="007F7C88">
        <w:rPr>
          <w:rFonts w:ascii="Book Antiqua" w:eastAsia="Book Antiqua" w:hAnsi="Book Antiqua" w:cs="Book Antiqua"/>
        </w:rPr>
        <w:t xml:space="preserve">vity </w:t>
      </w:r>
      <w:r w:rsidRPr="007F7C88">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{"citationItems":[{"id":"ITEM-1","itemData":{"DOI":"10.2146/ajhp050045.p1","ISSN":"1079-2082","PMID":"16484516","abstract":"PURPOSE The pathophysiology, frequency, sequelae, diagnosis, and treatment of cancer-treatment-induced bone loss (CTIBL) are discussed. SUMMARY CTIBL is a long-term complication associated with cancer therapies that can directly or indirectly affect bone metabolism. Although CTIBL can occur in any patient receiving a cancer therapy known to cause bone loss, CTIBL is most common in patients with breast or prostate cancer who receive chemotherapy, hormone therapy, or surgical castration, as these can cause hypogonadism and induce bone loss. CTIBL causes bone fragility and an increased susceptibility to fractures; therefore, prevention, early diagnosis, and treatment of CTIBL are essential to decrease the risk of fracture. Bone loss occurs more rapidly and tends to be more severe in patients with CTIBL compared with those with normal age-related bone loss. Fractures of the hip, vertebra, and wrist are the fractures most commonly associated with bone loss. CTIBL is diagnosed by measuring bone mass using bone densitometry. Treatment of CTIBL consists of changing diet and lifestyle such as optimizing calcium and vitamin D intake, exercising, modifying behaviors known to increase the risk of CTIBL and pharmacologic therapy with hormone replacement therapy (HRT), selective estrogen-receptor modifiers (SERMs), calcitonin, or a bisphosphonate. CONCLUSION Early identification and treatment of CTIBL are essential to prevent fractures. Patients should be instructed to optimize calcium and vitamin D intake, exercise regularly, and modify lifestyle behaviors known to cause bone loss. Patients with CTIBL should be treated with an oral or i.v. bisphosphonate; SERMs or HRT may be an option in some patients if contraindications do not exist.","author":[{"dropping-particle":"","family":"Michaud","given":"L. B.","non-dropping-particle":"","parse-names":false,"suffix":""},{"dropping-particle":"","family":"Goodin","given":"Susan","non-dropping-particle":"","parse-names":false,"suffix":""}],"container-title":"American Journal of Health-System Pharmacy","id":"ITEM-1","issue":"5","issued":{"date-parts":[["2006","3","1"]]},"page":"419-430","title":"Cancer-treatment-induced bone loss, part 1","type":"article-journal","volume":"63"},"uris":["http://www.mendeley.com/documents/?uuid=f4d1ac28-8ca2-3abf-8eb9-f9206e90848b"]}],"mendeley":{"formattedCitation":"(32)","plainTextFormattedCitation":"(32)","previouslyFormattedCitation":"(31)"},"properties":{"noteIndex":0},"schema":"https://github.com/citation-style-language/schema/raw/master/csl-citation.json"}</w:instrText>
      </w:r>
      <w:r w:rsidRPr="007F7C88">
        <w:rPr>
          <w:rFonts w:ascii="Book Antiqua" w:eastAsia="Book Antiqua" w:hAnsi="Book Antiqua" w:cs="Book Antiqua"/>
        </w:rPr>
        <w:fldChar w:fldCharType="separate"/>
      </w:r>
      <w:r w:rsidRPr="00FB45BE">
        <w:rPr>
          <w:rFonts w:ascii="Book Antiqua" w:eastAsia="Book Antiqua" w:hAnsi="Book Antiqua" w:cs="Book Antiqua"/>
          <w:noProof/>
        </w:rPr>
        <w:t>(32)</w:t>
      </w:r>
      <w:r w:rsidRPr="007F7C88">
        <w:rPr>
          <w:rFonts w:ascii="Book Antiqua" w:eastAsia="Book Antiqua" w:hAnsi="Book Antiqua" w:cs="Book Antiqua"/>
        </w:rPr>
        <w:fldChar w:fldCharType="end"/>
      </w:r>
      <w:r w:rsidRPr="007F7C88">
        <w:rPr>
          <w:rFonts w:ascii="Book Antiqua" w:eastAsia="Book Antiqua" w:hAnsi="Book Antiqua" w:cs="Book Antiqua"/>
        </w:rPr>
        <w:t>. Chemother</w:t>
      </w:r>
      <w:r>
        <w:rPr>
          <w:rFonts w:ascii="Book Antiqua" w:eastAsia="Book Antiqua" w:hAnsi="Book Antiqua" w:cs="Book Antiqua"/>
        </w:rPr>
        <w:t xml:space="preserve">apy indirectly reduces </w:t>
      </w:r>
      <w:r w:rsidRPr="00EB5BE3">
        <w:rPr>
          <w:rFonts w:ascii="Book Antiqua" w:eastAsia="Book Antiqua" w:hAnsi="Book Antiqua" w:cs="Book Antiqua"/>
        </w:rPr>
        <w:t>estrogen levels</w:t>
      </w:r>
      <w:r>
        <w:rPr>
          <w:rFonts w:ascii="Book Antiqua" w:eastAsia="Book Antiqua" w:hAnsi="Book Antiqua" w:cs="Book Antiqua"/>
        </w:rPr>
        <w:t xml:space="preserve"> by inducing permanent ovarian failure in 50-85% of breast cancer patients</w:t>
      </w:r>
      <w:r w:rsidRPr="006F1213">
        <w:rPr>
          <w:rFonts w:ascii="Book Antiqua" w:eastAsia="Book Antiqua" w:hAnsi="Book Antiqua" w:cs="Book Antiqua"/>
        </w:rPr>
        <w:t xml:space="preserve">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{"citationItems":[{"id":"ITEM-1","itemData":{"DOI":"10.1097/gme.0b013e31821b849b","ISSN":"1072-3714","PMID":"21814159","abstract":"OBJECTIVE Premature ovarian failure and weight gain are both common in women receiving adjuvant chemotherapy for breast cancer. The objective of this preliminary analysis was to characterize changes in weight and body composition in premenopausal women receiving adjuvant chemotherapy for early stage breast cancer and investigate whether these changes were associated with chemotherapy-induced ovarian failure (CIOF). METHODS The body composition of 43 premenopausal women with stage I or II breast cancer was measured using dual-energy x-ray absorptiometry within 4 weeks before beginning chemotherapy and after 12 months from baseline. At 12 months, the CIOF was determined using the history of amennorhea for 3 months or more and serum follicle-stimulating hormone. RESULTS Of the 43 women, 30 (70%) developed CIOF by the 12-month follow-up. Significant weight gain occurred in women with and without CIOF and consisted of fat but not lean mass in the trunk and legs. In women who developed CIOF, truncal fat increased by a median of 1.8 kg (P = 0.0004), whereas truncal lean mass decreased by 0.6 kg (P = 0.02). Women who retained ovarian function gained a median of 0.9 kg (P = 0.06) in truncal fat with no significant change in truncal lean mass. Women with CIOF tended to lose lean mass. Loss of total body lean mass was directly correlated with the decrease in bone density as measured by bone mineral density at the femoral neck (Spearman correlation coefficient, 0.4; P = 0.03). Energy intake decreased similarly in women with and without CIOF (-184 vs -290 kcal, respectively; P = 0.77). CONCLUSIONS The results of this small preliminary analysis suggest that body composition changes in women receiving adjuvant chemotherapy for breast cancer include an increase in fat mass in the trunk and leg regions without an increase in fat-free mass. Future research with a larger study cohort and longer follow-up is needed to further investigate the role of CIOF in body composition changes in women with breast cancer. Further research is also needed to evaluate the potential effects of body composition changes on breast cancer outcomes.","author":[{"dropping-particle":"","family":"Gordon","given":"Angela M.","non-dropping-particle":"","parse-names":false,"suffix":""},{"dropping-particle":"","family":"Hurwitz","given":"Shelley","non-dropping-particle":"","parse-names":false,"suffix":""},{"dropping-particle":"","family":"Shapiro","given":"Charles L.","non-dropping-particle":"","parse-names":false,"suffix":""},{"dropping-particle":"","family":"LeBoff","given":"Meryl S.","non-dropping-particle":"","parse-names":false,"suffix":""}],"container-title":"Menopause","id":"ITEM-1","issue":"11","issued":{"date-parts":[["2011","11"]]},"page":"1244-1248","title":"Premature ovarian failure and body composition changes with adjuvant chemotherapy for breast cancer","type":"article-journal","volume":"18"},"uris":["http://www.mendeley.com/documents/?uuid=3b2b78fe-fc15-3d64-aefe-a3406f41d616"]},{"id":"ITEM-2","itemData":{"DOI":"10.1200/JCO.1996.14.5.1718","ISSN":"0732-183X","PMID":"8622093","abstract":"PURPOSE Adjuvant chemotherapy for breast cancer causes significant changes in ovarian function. More young women survive breast cancer than ever before and they are at risk of the sequelae of early menopause. We attempted to (1) define menopausal status in the setting of adjuvant chemotherapy; (2) define chemotherapy-related amenorrhea (CRA); (3) document rates of permanent amenorrhea, temporary amenorrhea, and oligomenorrhea among different regimens; and (4) analyze variables that influence ovarian function. DESIGN We reviewed reports of the effects of adjuvant chemotherapy for breast cancer on ovarian function in premenopausal women. We searched Medline and Cancerlit from 1966 to 1995 on the following terms: breast neoplasms; chemotherapy, adjuvant; menstruation disorders; premature menopause, and amenorrhea. Further references were obtained from reports retrieved in the initial search. RESULTS A uniform definition of menopause and CRA is lacking. The wide range of CRA rates reported in adjuvant chemotherapy trials is a result, at least in part, of this problem. The average CRA rate reported in regimens based on cyclophosphamide, methotrexate, and fluorouracil (CMF) is 68% (95% confidence interval [CI], 66% to 70%), with a range of 20% to 100%. CRA incidence varies with age, cytotoxic agent, and cumulative dose. CONCLUSION Ovarian damage is the most significant long-term sequela of adjuvant chemotherapy in premenopausal breast cancer survivors. We suggest a common definition of the following important terms: menopausal status, CRA (early and late), temporary CRA, and oligomenorrhea in the setting of adjuvant treatment. With uniform definitions in place, regimens can be more precisely compared with respect to this important complication.","author":[{"dropping-particle":"","family":"Bines","given":"J","non-dropping-particle":"","parse-names":false,"suffix":""},{"dropping-particle":"","family":"Oleske","given":"D M","non-dropping-particle":"","parse-names":false,"suffix":""},{"dropping-particle":"","family":"Cobleigh","given":"M A","non-dropping-particle":"","parse-names":false,"suffix":""}],"container-title":"Journal of Clinical Oncology","id":"ITEM-2","issue":"5","issued":{"date-parts":[["1996","5"]]},"page":"1718-1729","title":"Ovarian function in premenopausal women treated with adjuvant chemotherapy for breast cancer.","type":"article-journal","volume":"14"},"uris":["http://www.mendeley.com/documents/?uuid=3250ce31-32af-3eaa-89a8-d543b948ed28"]}],"mendeley":{"formattedCitation":"(6,20)","plainTextFormattedCitation":"(6,20)","previouslyFormattedCitation":"(6,20)"},"properties":{"noteIndex":0},"schema":"https://github.com/citation-style-language/schema/raw/master/csl-citation.json"}</w:instrText>
      </w:r>
      <w:r>
        <w:rPr>
          <w:rFonts w:ascii="Book Antiqua" w:eastAsia="Book Antiqua" w:hAnsi="Book Antiqua" w:cs="Book Antiqua"/>
        </w:rPr>
        <w:fldChar w:fldCharType="separate"/>
      </w:r>
      <w:r w:rsidRPr="00D54D3C">
        <w:rPr>
          <w:rFonts w:ascii="Book Antiqua" w:eastAsia="Book Antiqua" w:hAnsi="Book Antiqua" w:cs="Book Antiqua"/>
          <w:noProof/>
        </w:rPr>
        <w:t>(6,20)</w:t>
      </w:r>
      <w:r>
        <w:rPr>
          <w:rFonts w:ascii="Book Antiqua" w:eastAsia="Book Antiqua" w:hAnsi="Book Antiqua" w:cs="Book Antiqua"/>
        </w:rPr>
        <w:fldChar w:fldCharType="end"/>
      </w:r>
      <w:r>
        <w:rPr>
          <w:rFonts w:ascii="Book Antiqua" w:eastAsia="Book Antiqua" w:hAnsi="Book Antiqua" w:cs="Book Antiqua"/>
        </w:rPr>
        <w:t xml:space="preserve">. Whereas, adjuvant hormone suppression therapy inhibits estrogen production in adipose tissue through aromatase inhibitors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{"citationItems":[{"id":"ITEM-1","itemData":{"DOI":"10.1146/annurev.med.56.062804.103324","ISSN":"0066-4219","PMID":"15660504","abstract":"Considerable data implicate estrogens in breast cancer carcinogenesis and progression. In the postmenopausal woman, estrogens are produced in breast tissues and many other sites throughout the body when androgen precursors are converted into estrogens via the enzyme aromatase. Inhibition of this enzyme with aromatase inhibitors (AIs) has demonstrated reductions in systemic as well as intratumoral estrogens. These drugs have now been utilized in large phase 3 randomized trials and have led to greater improved clinical benefit than the \"gold standard,\" tamoxifen. Questions remain about the long-term side effects and safety profile of AIs. They are associated with increasing incidence of osteoporosis and bone fractures. Nevertheless, AIs add to our armamentarium for therapy and possible prevention of breast cancer.","author":[{"dropping-particle":"","family":"Osborne","given":"Cynthia","non-dropping-particle":"","parse-names":false,"suffix":""},{"dropping-particle":"","family":"Tripathy","given":"Debu","non-dropping-particle":"","parse-names":false,"suffix":""}],"container-title":"Annual Review of Medicine","id":"ITEM-1","issue":"1","issued":{"date-parts":[["2005","2"]]},"page":"103-116","title":"Aromatase Inhibitors: Rationale and Use in Breast Cancer","type":"article-journal","volume":"56"},"uris":["http://www.mendeley.com/documents/?uuid=a47885d8-6e0d-3a6a-9340-0f8c6e5efea9"]},{"id":"ITEM-2","itemData":{"DOI":"10.1002/cncr.21201","ISSN":"0008-543X","PMID":"15968687","abstract":"Osteoporosis is a skeletal disorder that is characterized by low bone mass and compromised bone strength. Fractures are the clinically important consequence of osteoporosis and result not only in disability but also in excess mortality. Women who have a history of breast carcinoma may represent a unique population for whom screening and treatment for osteoporosis should be modified. A review of the English literature was performed that included original, review, consensus, and statement articles that were identified through Medline or National Institutes of Health-related links. According to the literature, osteoporosis constitutes a major public health problem. Approximately 55% of the U.S. population &gt; or = 50 years of age has low bone mass (osteopenia or osteoporosis). Annually, &gt; 200,000 women in the U.S. are diagnosed with breast carcinoma. Due to the high prevalence rates of both low bone mass and breast carcinoma in women, these two diseases commonly coexist in the same individuals. Women with a history of breast carcinoma may be at increased risk of developing bone loss and fragility fractures as a consequence of antineoplastic therapies. The majority of women treated for early-stage breast carcinoma do not develop recurrences, as a result of recent advances in therapy. Ensuring the diagnosis, prevention, and treatment of long-term toxicities and comorbid conditions like osteoporosis in breast carcinoma survivors is a serious concern and is of increasing importance. In this article, the authors address the evaluation and treatment of osteoporosis in women who have a history of early-stage breast carcinoma.","author":[{"dropping-particle":"","family":"Poznak","given":"Catherine","non-dropping-particle":"Van","parse-names":false,"suffix":""},{"dropping-particle":"","family":"Sauter","given":"Nicholas P","non-dropping-particle":"","parse-names":false,"suffix":""}],"container-title":"Cancer","id":"ITEM-2","issue":"3","issued":{"date-parts":[["2005","8","1"]]},"page":"443-56","title":"Clinical management of osteoporosis in women with a history of breast carcinoma.","type":"article-journal","volume":"104"},"uris":["http://www.mendeley.com/documents/?uuid=6671c4a2-7f4b-3137-9c45-99bae2ec3c3c"]}],"mendeley":{"formattedCitation":"(35,37)","plainTextFormattedCitation":"(35,37)","previouslyFormattedCitation":"(34,36)"},"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(35,37)</w:t>
      </w:r>
      <w:r>
        <w:rPr>
          <w:rFonts w:ascii="Book Antiqua" w:eastAsia="Book Antiqua" w:hAnsi="Book Antiqua" w:cs="Book Antiqua"/>
        </w:rPr>
        <w:fldChar w:fldCharType="end"/>
      </w:r>
      <w:r>
        <w:t>.</w:t>
      </w:r>
      <w:r w:rsidRPr="00EB5BE3">
        <w:rPr>
          <w:rFonts w:ascii="Book Antiqua" w:eastAsia="Book Antiqua" w:hAnsi="Book Antiqua" w:cs="Book Antiqua"/>
        </w:rPr>
        <w:t xml:space="preserve"> This creates an imbalance between osteoblastic and osteoclastic activity</w:t>
      </w:r>
      <w:r>
        <w:rPr>
          <w:rFonts w:ascii="Book Antiqua" w:eastAsia="Book Antiqua" w:hAnsi="Book Antiqua" w:cs="Book Antiqua"/>
        </w:rPr>
        <w:t xml:space="preserve"> that results in an overall increase in the rate of bone turnover</w:t>
      </w:r>
      <w:r w:rsidRPr="00EB5BE3">
        <w:rPr>
          <w:rFonts w:ascii="Book Antiqua" w:eastAsia="Book Antiqua" w:hAnsi="Book Antiqua" w:cs="Book Antiqua"/>
        </w:rPr>
        <w:t xml:space="preserve">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{"citationItems":[{"id":"ITEM-1","itemData":{"DOI":"10.1200/JCO.2000.18.7.1570","ISSN":"0732-183X","PMID":"10735906","abstract":"Many therapeutic regimens in cancer treatment carry the risk of causing or favoring the development of osteoporosis. Therapies in which hypogonadism may occur are most relevant in this respect. Prompt hormone replacement therapy is indicated in these patients. In patients in whom this is undesirable because of a hormone-dependent tumor, the risk of osteoporosis should be assessed by means of osteodensitometry, and prophylactic or therapeutic measures should be instituted if necessary. Early intervention improves outcome because osteoporosis therapy is most effective in preventing deterioration of bone mass. There remains much uncertainty in assessing the risk of combination chemotherapy with regard to the development of osteoporosis. Negative effects on the skeleton have, however, been demonstrated for individual drugs, such as methotrexate and ifosfamide. Negative effects of the tumor itself on bone metabolism may aggravate the degree of osteoporosis. Detailed data and long-term experience to assess the risk are urgently needed in this area and constitute an important research topic for the coming years and decades. This review discusses the most prevalent mechanisms of osteoporosis caused by cancer treatment and outlines therapeutic strategies for the prevention and treatment of therapy-induced bone loss.","author":[{"dropping-particle":"","family":"Pfeilschifter","given":"J","non-dropping-particle":"","parse-names":false,"suffix":""},{"dropping-particle":"","family":"Diel","given":"I J","non-dropping-particle":"","parse-names":false,"suffix":""}],"container-title":"Journal of clinical oncology : official journal of the American Society of Clinical Oncology","id":"ITEM-1","issue":"7","issued":{"date-parts":[["2000","4","7"]]},"page":"1570-93","title":"Osteoporosis due to cancer treatment: pathogenesis and management.","type":"article-journal","volume":"18"},"uris":["http://www.mendeley.com/documents/?uuid=303368bc-8c0a-3de4-8974-d89a4943dddf"]}],"mendeley":{"formattedCitation":"(36)","plainTextFormattedCitation":"(36)","previouslyFormattedCitation":"(35)"},"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(36)</w:t>
      </w:r>
      <w:r>
        <w:rPr>
          <w:rFonts w:ascii="Book Antiqua" w:eastAsia="Book Antiqua" w:hAnsi="Book Antiqua" w:cs="Book Antiqua"/>
        </w:rPr>
        <w:fldChar w:fldCharType="end"/>
      </w:r>
      <w:r w:rsidRPr="00EB5BE3">
        <w:rPr>
          <w:rFonts w:ascii="Book Antiqua" w:eastAsia="Book Antiqua" w:hAnsi="Book Antiqua" w:cs="Book Antiqua"/>
        </w:rPr>
        <w:t xml:space="preserve">. </w:t>
      </w:r>
    </w:p>
    <w:p w:rsidR="005B4873" w:rsidRPr="00EB5BE3" w:rsidRDefault="005B4873" w:rsidP="005B4873">
      <w:pPr>
        <w:tabs>
          <w:tab w:val="left" w:pos="3519"/>
        </w:tabs>
        <w:jc w:val="both"/>
        <w:rPr>
          <w:rFonts w:ascii="Book Antiqua" w:eastAsia="Book Antiqua" w:hAnsi="Book Antiqua" w:cs="Book Antiqua"/>
        </w:rPr>
      </w:pPr>
    </w:p>
    <w:p w:rsidR="005B4873" w:rsidRPr="005B4873" w:rsidRDefault="005B4873" w:rsidP="005B4873">
      <w:pPr>
        <w:tabs>
          <w:tab w:val="left" w:pos="3519"/>
        </w:tabs>
        <w:jc w:val="both"/>
        <w:rPr>
          <w:rFonts w:ascii="Book Antiqua" w:eastAsia="Book Antiqua" w:hAnsi="Book Antiqua" w:cs="Book Antiqua"/>
        </w:rPr>
      </w:pPr>
      <w:r w:rsidRPr="00EB5BE3">
        <w:rPr>
          <w:rFonts w:ascii="Book Antiqua" w:eastAsia="Book Antiqua" w:hAnsi="Book Antiqua" w:cs="Book Antiqua"/>
        </w:rPr>
        <w:t xml:space="preserve">Decrements in </w:t>
      </w:r>
      <w:r>
        <w:rPr>
          <w:rFonts w:ascii="Book Antiqua" w:eastAsia="Book Antiqua" w:hAnsi="Book Antiqua" w:cs="Book Antiqua"/>
        </w:rPr>
        <w:t>LST</w:t>
      </w:r>
      <w:r w:rsidRPr="00EB5BE3">
        <w:rPr>
          <w:rFonts w:ascii="Book Antiqua" w:eastAsia="Book Antiqua" w:hAnsi="Book Antiqua" w:cs="Book Antiqua"/>
        </w:rPr>
        <w:t xml:space="preserve"> during breast cancer, occurs as a result of the catabolic nature of the cancer itself, as well as a result of the therapy</w:t>
      </w:r>
      <w:r>
        <w:rPr>
          <w:rFonts w:ascii="Book Antiqua" w:eastAsia="Book Antiqua" w:hAnsi="Book Antiqua" w:cs="Book Antiqua"/>
        </w:rPr>
        <w:t xml:space="preserve">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{"citationItems":[{"id":"ITEM-1","itemData":{"DOI":"10.1097/MCO.0b013e3283455d45; 10.1097/MCO.0b013e3283455d45","ISBN":"1473-6519; 1363-1950","PMID":"21415735","abstract":"PURPOSE OF REVIEW: A common feature of cancer patients is loss of lean tissue, specifically skeletal muscle, which may be the result of the tumor or a side-effect of chemotherapy or other drugs. Lean tissue loss in turn has important adverse implications for toxicity of antineoplastic therapy and, hence, cancer prognosis. RECENT FINDINGS: Contemporary cancer populations have heterogeneous proportions of lean tissue, regardless of body weight. Wasting of lean tissue during the cancer trajectory has been associated with tumor progression. Lean tissue depletion is an independent predictor of severe toxicity in patients treated with chemotherapeutic agents of diverse classes. Patients with lean tissue depletion behave as if overdosed and have toxicity of sufficient magnitude to require dose reductions, treatment delays or definitive termination of treatment. Muscle loss may occur due to a specific effect of a chemotherapy agent (i.e. sorafenib), androgen suppression therapy or other drugs (i.e. statins such as atorvastatin). SUMMARY: Lean tissue wasting occurs due to cancer progression and may be exacerbated by several drug classes. This loss of lean tissue is not proportional to changes in body weight and is prognostic of enhanced treatment toxicity and reduced survival.","author":[{"dropping-particle":"","family":"Prado","given":"C M","non-dropping-particle":"","parse-names":false,"suffix":""},{"dropping-particle":"","family":"Antoun","given":"S","non-dropping-particle":"","parse-names":false,"suffix":""},{"dropping-particle":"","family":"Sawyer","given":"M B","non-dropping-particle":"","parse-names":false,"suffix":""},{"dropping-particle":"","family":"Baracos","given":"V E","non-dropping-particle":"","parse-names":false,"suffix":""}],"container-title":"Current opinion in clinical nutrition and metabolic care","id":"ITEM-1","issue":"3","issued":{"date-parts":[["2011","5"]]},"note":"LR: 20111209; GR: Canadian Institutes of Health Research/Canada; JID: 9804399; 0 (Antineoplastic Agents); ppublish","page":"250-254","title":"Two faces of drug therapy in cancer: drug-related lean tissue loss and its adverse consequences to survival and toxicity","type":"article-journal","volume":"14"},"uris":["http://www.mendeley.com/documents/?uuid=f50a8dc5-e7c9-4a94-97dd-031d03449aa4"]},{"id":"ITEM-2","itemData":{"DOI":"10.1210/jc.2003-031874","ISSN":"0021-972X","PMID":"15126549","abstract":"Uncontrolled trials have reported significant weight gain in women with breast cancer during treatment with adjuvant chemotherapy. We prospectively evaluated body composition before (visit 1), immediately after (visit 2), and 6 months after (visit 3) chemotherapy in 20 women with stages I-IIIA breast cancer [body mass index (BMI): 24.1 +/- 3.9 kg/m(2)]. We compared their weight change to 51 age- and BMI-matched healthy controls (BMI: 25.5 +/- 3.8 kg/m(2)). In women with breast cancer, there was no weight change from visit 1-2, or from visit 1-3, but weight increased from visit 2-3 (+1.09 +/- 2.46 kg; P = 0.05). Weight change was not different from controls during either interval. In the breast cancer group, the percentage of body fat assessed by air displacement plethysmography increased, and fat-free mass decreased from visit 1-2 (+2.3 +/- 4% and -2.2 +/- 4%; P = 0.02) and from visit 1-3 (+4.0 +/- 6% and -3.8 +/- 6%; P = 0.01). By dual energy x-ray absorptiometry, the percentage of body fat increased from visit 2-3 (+0.9 +/- 1.6%; P = 0.02). Bone mineral content decreased from visit 2-3 (-0.02 +/- 0.04 kg; P = 0.02) and from visit 1-3 (-0.04 +/- 0.06 kg; P = 0.005). By computed tomography, the visceral adipose to sc adipose tissue ratio decreased from visit 1-3 (-0.02 +/- 0.05 ml; P = 0.02). We conclude that, compared with controls, women with breast cancer receiving modern adjuvant chemotherapy regimens show no significant changes in weight during the first year of their treatment. They do, however, appear to undergo unfavorable changes in body composition.","author":[{"dropping-particle":"","family":"Freedman","given":"R J","non-dropping-particle":"","parse-names":false,"suffix":""},{"dropping-particle":"","family":"Aziz","given":"N","non-dropping-particle":"","parse-names":false,"suffix":""},{"dropping-particle":"","family":"Albanes","given":"D","non-dropping-particle":"","parse-names":false,"suffix":""},{"dropping-particle":"","family":"Hartman","given":"T","non-dropping-particle":"","parse-names":false,"suffix":""},{"dropping-particle":"","family":"Danforth","given":"D","non-dropping-particle":"","parse-names":false,"suffix":""},{"dropping-particle":"","family":"Hill","given":"S","non-dropping-particle":"","parse-names":false,"suffix":""},{"dropping-particle":"","family":"Sebring","given":"N","non-dropping-particle":"","parse-names":false,"suffix":""},{"dropping-particle":"","family":"Reynolds","given":"J C","non-dropping-particle":"","parse-names":false,"suffix":""},{"dropping-particle":"","family":"Yanovski","given":"J A","non-dropping-particle":"","parse-names":false,"suffix":""}],"container-title":"The Journal of clinical endocrinology and metabolism","id":"ITEM-2","issue":"5","issued":{"date-parts":[["2004","5"]]},"page":"2248-53","title":"Weight and body composition changes during and after adjuvant chemotherapy in women with breast cancer.","type":"article-journal","volume":"89"},"uris":["http://www.mendeley.com/documents/?uuid=f860dd78-2e2f-3642-a80d-f8093130f2a1"]},{"id":"ITEM-3","itemData":{"DOI":"10.1007/s10549-012-2200-8","ISSN":"0167-6806","PMID":"22903689","abstract":"Body composition changes cannot be precisely captured using body weight or body mass index measures. Therefore, the primary purpose of this review was to characterize the patterns of body composition change in females treated for breast cancer including only studies that utilize imaging technologies to quantify adipose tissue and lean body mass (LBM). We reviewed PubMed for studies published between 1971 and 2012 involving females diagnosed with breast cancer where computed axial tomography , dual-energy X-ray absorptiometry, or magnetic resonance imaging were employed for body composition assessment. Of the initial 440 studies, 106 papers were evaluated and 36 papers met all eligibility criteria (15 observational and 21 intervention trials). Results of these studies revealed that body weight did not consistently increase. Importantly, studies also showed that body weight did not accurately depict changes in lean or adipose tissues. Further findings included that sarcopenic obesity as a consequence of breast cancer treatment was not definitive, as menopausal status may be a substantial moderator of body composition. Overall, the behavioral interventions did not exhibit consistent or profound effects on body composition outcomes; approximately half showed favorable influence on adiposity while the effects on LBM were not apparent. The use of tamoxifen had a clear negative impact on body composition. The majority of studies were conducted in predominantly white survivors, highlighting the need for trials in minority populations. Collectively, these studies were limited by age, race, and/or menopause status matched control groups, overall size, and statistical power. Very few studies simultaneously collected diet and exercise data-two potential factors that impact body composition. Future breast cancer trials should prioritize precise body composition methodologies to elucidate how these changes impact recurrence, prognosis, and mortality, and to provide clinicians with appropriate advice regarding lifestyle recommendations in this growing sector of the population.","author":[{"dropping-particle":"","family":"Sheean","given":"Patricia M.","non-dropping-particle":"","parse-names":false,"suffix":""},{"dropping-particle":"","family":"Hoskins","given":"Kent","non-dropping-particle":"","parse-names":false,"suffix":""},{"dropping-particle":"","family":"Stolley","given":"Melinda","non-dropping-particle":"","parse-names":false,"suffix":""}],"container-title":"Breast Cancer Research and Treatment","id":"ITEM-3","issue":"3","issued":{"date-parts":[["2012","10","19"]]},"page":"663-680","title":"Body composition changes in females treated for breast cancer: a review of the evidence","type":"article-journal","volume":"135"},"uris":["http://www.mendeley.com/documents/?uuid=9c3f22f1-a132-3788-a3f7-07ce191291c5"]}],"mendeley":{"formattedCitation":"(18,38,42)","plainTextFormattedCitation":"(18,38,42)","previouslyFormattedCitation":"(18,37,41)"},"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(18,38,42)</w:t>
      </w:r>
      <w:r>
        <w:rPr>
          <w:rFonts w:ascii="Book Antiqua" w:eastAsia="Book Antiqua" w:hAnsi="Book Antiqua" w:cs="Book Antiqua"/>
        </w:rPr>
        <w:fldChar w:fldCharType="end"/>
      </w:r>
      <w:r>
        <w:rPr>
          <w:rFonts w:ascii="Book Antiqua" w:eastAsia="Book Antiqua" w:hAnsi="Book Antiqua" w:cs="Book Antiqua"/>
        </w:rPr>
        <w:t xml:space="preserve">. </w:t>
      </w:r>
      <w:r w:rsidRPr="00EB5BE3">
        <w:rPr>
          <w:rFonts w:ascii="Book Antiqua" w:eastAsia="Book Antiqua" w:hAnsi="Book Antiqua" w:cs="Book Antiqua"/>
        </w:rPr>
        <w:t>Several treatment modalities can influence muscle protein synthesis and ultimately</w:t>
      </w:r>
      <w:r>
        <w:rPr>
          <w:rFonts w:ascii="Book Antiqua" w:eastAsia="Book Antiqua" w:hAnsi="Book Antiqua" w:cs="Book Antiqua"/>
        </w:rPr>
        <w:t xml:space="preserve"> muscle</w:t>
      </w:r>
      <w:r w:rsidRPr="00EB5BE3">
        <w:rPr>
          <w:rFonts w:ascii="Book Antiqua" w:eastAsia="Book Antiqua" w:hAnsi="Book Antiqua" w:cs="Book Antiqua"/>
        </w:rPr>
        <w:t xml:space="preserve"> mass, leading to losses of the </w:t>
      </w:r>
      <w:r>
        <w:rPr>
          <w:rFonts w:ascii="Book Antiqua" w:eastAsia="Book Antiqua" w:hAnsi="Book Antiqua" w:cs="Book Antiqua"/>
        </w:rPr>
        <w:t>LST</w:t>
      </w:r>
      <w:r w:rsidRPr="00EB5BE3">
        <w:rPr>
          <w:rFonts w:ascii="Book Antiqua" w:eastAsia="Book Antiqua" w:hAnsi="Book Antiqua" w:cs="Book Antiqua"/>
        </w:rPr>
        <w:t xml:space="preserve"> compartment (m</w:t>
      </w:r>
      <w:r>
        <w:rPr>
          <w:rFonts w:ascii="Book Antiqua" w:eastAsia="Book Antiqua" w:hAnsi="Book Antiqua" w:cs="Book Antiqua"/>
        </w:rPr>
        <w:t xml:space="preserve">ainly composed of muscle mass)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{"citationItems":[{"id":"ITEM-1","itemData":{"DOI":"10.1097/MCO.0b013e3283455d45; 10.1097/MCO.0b013e3283455d45","ISBN":"1473-6519; 1363-1950","PMID":"21415735","abstract":"PURPOSE OF REVIEW: A common feature of cancer patients is loss of lean tissue, specifically skeletal muscle, which may be the result of the tumor or a side-effect of chemotherapy or other drugs. Lean tissue loss in turn has important adverse implications for toxicity of antineoplastic therapy and, hence, cancer prognosis. RECENT FINDINGS: Contemporary cancer populations have heterogeneous proportions of lean tissue, regardless of body weight. Wasting of lean tissue during the cancer trajectory has been associated with tumor progression. Lean tissue depletion is an independent predictor of severe toxicity in patients treated with chemotherapeutic agents of diverse classes. Patients with lean tissue depletion behave as if overdosed and have toxicity of sufficient magnitude to require dose reductions, treatment delays or definitive termination of treatment. Muscle loss may occur due to a specific effect of a chemotherapy agent (i.e. sorafenib), androgen suppression therapy or other drugs (i.e. statins such as atorvastatin). SUMMARY: Lean tissue wasting occurs due to cancer progression and may be exacerbated by several drug classes. This loss of lean tissue is not proportional to changes in body weight and is prognostic of enhanced treatment toxicity and reduced survival.","author":[{"dropping-particle":"","family":"Prado","given":"C M","non-dropping-particle":"","parse-names":false,"suffix":""},{"dropping-particle":"","family":"Antoun","given":"S","non-dropping-particle":"","parse-names":false,"suffix":""},{"dropping-particle":"","family":"Sawyer","given":"M B","non-dropping-particle":"","parse-names":false,"suffix":""},{"dropping-particle":"","family":"Baracos","given":"V E","non-dropping-particle":"","parse-names":false,"suffix":""}],"container-title":"Current opinion in clinical nutrition and metabolic care","id":"ITEM-1","issue":"3","issued":{"date-parts":[["2011","5"]]},"note":"LR: 20111209; GR: Canadian Institutes of Health Research/Canada; JID: 9804399; 0 (Antineoplastic Agents); ppublish","page":"250-254","title":"Two faces of drug therapy in cancer: drug-related lean tissue loss and its adverse consequences to survival and toxicity","type":"article-journal","volume":"14"},"uris":["http://www.mendeley.com/documents/?uuid=f50a8dc5-e7c9-4a94-97dd-031d03449aa4"]}],"mendeley":{"formattedCitation":"(38)","plainTextFormattedCitation":"(38)","previouslyFormattedCitation":"(37)"},"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(38)</w:t>
      </w:r>
      <w:r>
        <w:rPr>
          <w:rFonts w:ascii="Book Antiqua" w:eastAsia="Book Antiqua" w:hAnsi="Book Antiqua" w:cs="Book Antiqua"/>
        </w:rPr>
        <w:fldChar w:fldCharType="end"/>
      </w:r>
      <w:r>
        <w:rPr>
          <w:rFonts w:ascii="Book Antiqua" w:eastAsia="Book Antiqua" w:hAnsi="Book Antiqua" w:cs="Book Antiqua"/>
        </w:rPr>
        <w:t xml:space="preserve">. </w:t>
      </w:r>
      <w:r w:rsidRPr="00D96509">
        <w:rPr>
          <w:rFonts w:ascii="Book Antiqua" w:eastAsia="Book Antiqua" w:hAnsi="Book Antiqua" w:cs="Book Antiqua"/>
        </w:rPr>
        <w:t xml:space="preserve">Accelerated body composition changes also </w:t>
      </w:r>
      <w:r>
        <w:rPr>
          <w:rFonts w:ascii="Book Antiqua" w:eastAsia="Book Antiqua" w:hAnsi="Book Antiqua" w:cs="Book Antiqua"/>
        </w:rPr>
        <w:t>occur</w:t>
      </w:r>
      <w:r w:rsidRPr="00D96509">
        <w:rPr>
          <w:rFonts w:ascii="Book Antiqua" w:eastAsia="Book Antiqua" w:hAnsi="Book Antiqua" w:cs="Book Antiqua"/>
        </w:rPr>
        <w:t xml:space="preserve"> due to metabolic alterations (reduced appetite, anorexia, hypercatabolism) induced during tumor-bearing period</w:t>
      </w:r>
      <w:r>
        <w:rPr>
          <w:rFonts w:ascii="Book Antiqua" w:eastAsia="Book Antiqua" w:hAnsi="Book Antiqua" w:cs="Book Antiqua"/>
        </w:rPr>
        <w:t xml:space="preserve">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{"citationItems":[{"id":"ITEM-1","itemData":{"DOI":"10.1080/01635581.2016.1153667","ISSN":"1532-7914","PMID":"27007947","abstract":"There is conflicting evidence surrounding the extent of changes in resting energy expenditure (REE) in cancer. This meta-analysis aimed to establish the mean difference in REE, as kilojoules per kilogram fat-free mass, among cancer patients when compared to healthy control subjects. The secondary aim was to determine differences among different cancer types. PubMed, Cochrane Library, Medline, Science Direct, Scopus, Web of Science, Wiley Online Library, and ProQuest Central were searched from the earliest records until March 2014. Studies were included if measured REE was reported as kilojoules or kilocalories per kilogram fat-free mass (FFM) in adult subjects with cancer. Twenty-seven studies were included in the meta-analysis. Fourteen studies included both cancer (n = 1453) and control (n = 1145) groups. The meta-analysis shows an average increase in REE of 9.66 (95% confidence interval: 3.34, 15.98) kJ/kgFFM/day in cancer patients when compared to control subjects. Heterogeneity was detected (P &lt; 0.001) which suggest variations in REE among cancer types. Elevations are most noticeable in patients with cancers of metabolically demanding organs.","author":[{"dropping-particle":"","family":"Nguyen","given":"Thi Yen Vi","non-dropping-particle":"","parse-names":false,"suffix":""},{"dropping-particle":"","family":"Batterham","given":"Marijka J","non-dropping-particle":"","parse-names":false,"suffix":""},{"dropping-particle":"","family":"Edwards","given":"Cheree","non-dropping-particle":"","parse-names":false,"suffix":""}],"container-title":"Nutrition and cancer","id":"ITEM-1","issue":"3","issued":{"date-parts":[["2016","4","2"]]},"page":"374-87","title":"Comparison of Resting Energy Expenditure Between Cancer Subjects and Healthy Controls: A Meta-Analysis.","type":"article-journal","volume":"68"},"uris":["http://www.mendeley.com/documents/?uuid=54f77e1d-f996-3b76-9889-3a1756186ddc"]}],"mendeley":{"formattedCitation":"(34)","plainTextFormattedCitation":"(34)","previouslyFormattedCitation":"(33)"},"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(34)</w:t>
      </w:r>
      <w:r>
        <w:rPr>
          <w:rFonts w:ascii="Book Antiqua" w:eastAsia="Book Antiqua" w:hAnsi="Book Antiqua" w:cs="Book Antiqua"/>
        </w:rPr>
        <w:fldChar w:fldCharType="end"/>
      </w:r>
      <w:r w:rsidRPr="00D96509">
        <w:rPr>
          <w:rFonts w:ascii="Book Antiqua" w:eastAsia="Book Antiqua" w:hAnsi="Book Antiqua" w:cs="Book Antiqua"/>
        </w:rPr>
        <w:t>.</w:t>
      </w:r>
      <w:r>
        <w:rPr>
          <w:rFonts w:ascii="Book Antiqua" w:eastAsia="Book Antiqua" w:hAnsi="Book Antiqua" w:cs="Book Antiqua"/>
        </w:rPr>
        <w:t xml:space="preserve"> </w:t>
      </w:r>
      <w:r w:rsidRPr="00EB5BE3">
        <w:rPr>
          <w:rFonts w:ascii="Book Antiqua" w:eastAsia="Book Antiqua" w:hAnsi="Book Antiqua" w:cs="Book Antiqua"/>
        </w:rPr>
        <w:t>Additionally,</w:t>
      </w:r>
      <w:r>
        <w:rPr>
          <w:rFonts w:ascii="Book Antiqua" w:eastAsia="Book Antiqua" w:hAnsi="Book Antiqua" w:cs="Book Antiqua"/>
        </w:rPr>
        <w:t xml:space="preserve"> in cancer patients</w:t>
      </w:r>
      <w:r w:rsidRPr="00EB5BE3">
        <w:rPr>
          <w:rFonts w:ascii="Book Antiqua" w:eastAsia="Book Antiqua" w:hAnsi="Book Antiqua" w:cs="Book Antiqua"/>
        </w:rPr>
        <w:t xml:space="preserve"> tumor induced increases in systemic inflammation can inhibit the pathways for muscle protein synthesis and promote muscle protein breakdown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{"citationItems":[{"id":"ITEM-1","itemData":{"DOI":"10.1146/annurev-med-061509-131248","ISSN":"1545-326X","PMID":"20731602","abstract":"Cancer cachexia is a complex metabolic condition characterized by loss of skeletal muscle. Common clinical manifestations include muscle wasting, anemia, reduced caloric intake, and altered immune function, which contribute to increased disability, fatigue, diminished quality of life, and reduced survival. The prevalence of cachexia and the impact of this disorder on the patient and family underscore the need for effective management strategies. Dietary supplementation and appetite stimulation alone are inadequate to reverse the underlying metabolic abnormalities of cancer cachexia and have limited long-term impact on patient quality of life and survival. Therapies that can increase muscle mass and physical performance may be a promising option; however, there are currently no drugs approved for the prevention or treatment of cancer cachexia. Several agents are in clinical development, including anabolic agents, such as selective androgen receptor modulators and drugs targeting inflammatory cytokines that promote skeletal muscle catabolism.","author":[{"dropping-particle":"","family":"Dodson","given":"Shontelle","non-dropping-particle":"","parse-names":false,"suffix":""},{"dropping-particle":"","family":"Baracos","given":"Vickie E","non-dropping-particle":"","parse-names":false,"suffix":""},{"dropping-particle":"","family":"Jatoi","given":"Aminah","non-dropping-particle":"","parse-names":false,"suffix":""},{"dropping-particle":"","family":"Evans","given":"William J","non-dropping-particle":"","parse-names":false,"suffix":""},{"dropping-particle":"","family":"Cella","given":"David","non-dropping-particle":"","parse-names":false,"suffix":""},{"dropping-particle":"","family":"Dalton","given":"James T","non-dropping-particle":"","parse-names":false,"suffix":""},{"dropping-particle":"","family":"Steiner","given":"Mitchell S","non-dropping-particle":"","parse-names":false,"suffix":""}],"container-title":"Annual review of medicine","id":"ITEM-1","issue":"1","issued":{"date-parts":[["2011","2","18"]]},"page":"265-79","title":"Muscle wasting in cancer cachexia: clinical implications, diagnosis, and emerging treatment strategies.","type":"article-journal","volume":"62"},"uris":["http://www.mendeley.com/documents/?uuid=72ee8e1f-6ddb-343d-9723-bae9c4adb6d3"]}],"mendeley":{"formattedCitation":"(15)","plainTextFormattedCitation":"(15)","previouslyFormattedCitation":"(15)"},"properties":{"noteIndex":0},"schema":"https://github.com/citation-style-language/schema/raw/master/csl-citation.json"}</w:instrText>
      </w:r>
      <w:r>
        <w:rPr>
          <w:rFonts w:ascii="Book Antiqua" w:eastAsia="Book Antiqua" w:hAnsi="Book Antiqua" w:cs="Book Antiqua"/>
        </w:rPr>
        <w:fldChar w:fldCharType="separate"/>
      </w:r>
      <w:r w:rsidRPr="00D54D3C">
        <w:rPr>
          <w:rFonts w:ascii="Book Antiqua" w:eastAsia="Book Antiqua" w:hAnsi="Book Antiqua" w:cs="Book Antiqua"/>
          <w:noProof/>
        </w:rPr>
        <w:t>(15)</w:t>
      </w:r>
      <w:r>
        <w:rPr>
          <w:rFonts w:ascii="Book Antiqua" w:eastAsia="Book Antiqua" w:hAnsi="Book Antiqua" w:cs="Book Antiqua"/>
        </w:rPr>
        <w:fldChar w:fldCharType="end"/>
      </w:r>
      <w:r w:rsidRPr="00EB5BE3">
        <w:rPr>
          <w:rFonts w:ascii="Book Antiqua" w:eastAsia="Book Antiqua" w:hAnsi="Book Antiqua" w:cs="Book Antiqua"/>
        </w:rPr>
        <w:t xml:space="preserve">. Further, fatigue as a side effect of chemotherapy decreases physical activity levels in women undergoing treatment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{"citationItems":[{"id":"ITEM-1","itemData":{"ISBN":"0002-9165; 0002-9165","PMID":"9129482","abstract":"Weight gain, a common side effect among breast cancer patients receiving adjuvant chemotherapy, may decrease quality of life and impair survival. Weight gain during treatment is a well-known problem and has been studied by many investigators. However, few controlled studies have been conducted to determine reasons to explain this apparent energy imbalance. An exploratory study was undertaken to quantitate potential changes in energy intake and specific components of energy expenditure in breast cancer patients receiving adjuvant chemotherapy. The research hypothesis was that a reduction in resting metabolic rate (RMR) would be observed during the period in which women received adjuvant chemotherapy. Twenty premenopausal patients with stage I or II breast cancer and receiving cyclophosphamide+doxorubicin+5-fluorouracil; cyclophosphamide +methotrexate+5-fluorouracil+/-doxorubicin; doxorubicin +cyclophosphamide+/-leucovorin; or methotrexate+5-fluorouracil +leucovorin chemotherapy were recruited. RMR, diet-induced thermogenesis, energy intake, physical activity, and body composition were assessed before the initiation and throughout the course of therapy. Complete data on 18 subjects suggest that RMR decreased significantly from baseline to midtreatment (P = 0.02) and rebounded to levels similar to those at baseline on completion of chemotherapy. Overall, levels of physical activity and energy intake also decreased significantly during treatment compared with baseline levels (P = 0.04 and P = 0.03, respectively). These findings suggest that chemotherapy provokes many significant changes in body composition and metabolic requirements. Additional research in this area will provide valuable insight into creating optimal interventions to curb weight gain in women with breast cancer.","author":[{"dropping-particle":"","family":"Demark-Wahnefried","given":"W","non-dropping-particle":"","parse-names":false,"suffix":""},{"dropping-particle":"","family":"Hars","given":"V","non-dropping-particle":"","parse-names":false,"suffix":""},{"dropping-particle":"","family":"Conaway","given":"M R","non-dropping-particle":"","parse-names":false,"suffix":""},{"dropping-particle":"","family":"Havlin","given":"K","non-dropping-particle":"","parse-names":false,"suffix":""},{"dropping-particle":"","family":"Rimer","given":"B K","non-dropping-particle":"","parse-names":false,"suffix":""},{"dropping-particle":"","family":"McElveen","given":"G","non-dropping-particle":"","parse-names":false,"suffix":""},{"dropping-particle":"","family":"Winer","given":"E P","non-dropping-particle":"","parse-names":false,"suffix":""}],"container-title":"The American Journal of Clinical Nutrition","id":"ITEM-1","issue":"5","issued":{"date-parts":[["1997","5"]]},"note":"LR: 20071114; GR: 1K07-CA62215-01/CA/NCI NIH HHS/United States; GR: 1P50-CA68438-01/CA/NCI NIH HHS/United States; JID: 0376027; ppublish","page":"1495-1501","title":"Reduced rates of metabolism and decreased physical activity in breast cancer patients receiving adjuvant chemotherapy","type":"article-journal","volume":"65"},"uris":["http://www.mendeley.com/documents/?uuid=61852a7b-8417-4209-ad1d-9fdaea7bfdcb"]}],"mendeley":{"formattedCitation":"(13)","plainTextFormattedCitation":"(13)","previouslyFormattedCitation":"(13)"},"properties":{"noteIndex":0},"schema":"https://github.com/citation-style-language/schema/raw/master/csl-citation.json"}</w:instrText>
      </w:r>
      <w:r>
        <w:rPr>
          <w:rFonts w:ascii="Book Antiqua" w:eastAsia="Book Antiqua" w:hAnsi="Book Antiqua" w:cs="Book Antiqua"/>
        </w:rPr>
        <w:fldChar w:fldCharType="separate"/>
      </w:r>
      <w:r w:rsidRPr="00D54D3C">
        <w:rPr>
          <w:rFonts w:ascii="Book Antiqua" w:eastAsia="Book Antiqua" w:hAnsi="Book Antiqua" w:cs="Book Antiqua"/>
          <w:noProof/>
        </w:rPr>
        <w:t>(13)</w:t>
      </w:r>
      <w:r>
        <w:rPr>
          <w:rFonts w:ascii="Book Antiqua" w:eastAsia="Book Antiqua" w:hAnsi="Book Antiqua" w:cs="Book Antiqua"/>
        </w:rPr>
        <w:fldChar w:fldCharType="end"/>
      </w:r>
      <w:r w:rsidRPr="00EB5BE3">
        <w:rPr>
          <w:rFonts w:ascii="Book Antiqua" w:eastAsia="Book Antiqua" w:hAnsi="Book Antiqua" w:cs="Book Antiqua"/>
        </w:rPr>
        <w:t>, thereby decreasing the mechanical stimuli that is needed to mai</w:t>
      </w:r>
      <w:r>
        <w:rPr>
          <w:rFonts w:ascii="Book Antiqua" w:eastAsia="Book Antiqua" w:hAnsi="Book Antiqua" w:cs="Book Antiqua"/>
        </w:rPr>
        <w:t>ntain skeletal muscle mass. The</w:t>
      </w:r>
      <w:r w:rsidRPr="00EB5BE3">
        <w:rPr>
          <w:rFonts w:ascii="Book Antiqua" w:eastAsia="Book Antiqua" w:hAnsi="Book Antiqua" w:cs="Book Antiqua"/>
        </w:rPr>
        <w:t xml:space="preserve"> reduced physical activity level</w:t>
      </w:r>
      <w:r>
        <w:rPr>
          <w:rFonts w:ascii="Book Antiqua" w:eastAsia="Book Antiqua" w:hAnsi="Book Antiqua" w:cs="Book Antiqua"/>
        </w:rPr>
        <w:t>s</w:t>
      </w:r>
      <w:r w:rsidRPr="00EB5BE3">
        <w:rPr>
          <w:rFonts w:ascii="Book Antiqua" w:eastAsia="Book Antiqua" w:hAnsi="Book Antiqua" w:cs="Book Antiqua"/>
        </w:rPr>
        <w:t xml:space="preserve"> also promotes the accretion of fat mass in women diagnosed with breast cancer due to a reduction in physical activity and energy expenditure, thus creating an imbalance between energy intake and expenditure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{"citationItems":[{"id":"ITEM-1","itemData":{"DOI":"10.1210/jc.2003-031874","ISSN":"0021-972X","PMID":"15126549","abstract":"Uncontrolled trials have reported significant weight gain in women with breast cancer during treatment with adjuvant chemotherapy. We prospectively evaluated body composition before (visit 1), immediately after (visit 2), and 6 months after (visit 3) chemotherapy in 20 women with stages I-IIIA breast cancer [body mass index (BMI): 24.1 +/- 3.9 kg/m(2)]. We compared their weight change to 51 age- and BMI-matched healthy controls (BMI: 25.5 +/- 3.8 kg/m(2)). In women with breast cancer, there was no weight change from visit 1-2, or from visit 1-3, but weight increased from visit 2-3 (+1.09 +/- 2.46 kg; P = 0.05). Weight change was not different from controls during either interval. In the breast cancer group, the percentage of body fat assessed by air displacement plethysmography increased, and fat-free mass decreased from visit 1-2 (+2.3 +/- 4% and -2.2 +/- 4%; P = 0.02) and from visit 1-3 (+4.0 +/- 6% and -3.8 +/- 6%; P = 0.01). By dual energy x-ray absorptiometry, the percentage of body fat increased from visit 2-3 (+0.9 +/- 1.6%; P = 0.02). Bone mineral content decreased from visit 2-3 (-0.02 +/- 0.04 kg; P = 0.02) and from visit 1-3 (-0.04 +/- 0.06 kg; P = 0.005). By computed tomography, the visceral adipose to sc adipose tissue ratio decreased from visit 1-3 (-0.02 +/- 0.05 ml; P = 0.02). We conclude that, compared with controls, women with breast cancer receiving modern adjuvant chemotherapy regimens show no significant changes in weight during the first year of their treatment. They do, however, appear to undergo unfavorable changes in body composition.","author":[{"dropping-particle":"","family":"Freedman","given":"R J","non-dropping-particle":"","parse-names":false,"suffix":""},{"dropping-particle":"","family":"Aziz","given":"N","non-dropping-particle":"","parse-names":false,"suffix":""},{"dropping-particle":"","family":"Albanes","given":"D","non-dropping-particle":"","parse-names":false,"suffix":""},{"dropping-particle":"","family":"Hartman","given":"T","non-dropping-particle":"","parse-names":false,"suffix":""},{"dropping-particle":"","family":"Danforth","given":"D","non-dropping-particle":"","parse-names":false,"suffix":""},{"dropping-particle":"","family":"Hill","given":"S","non-dropping-particle":"","parse-names":false,"suffix":""},{"dropping-particle":"","family":"Sebring","given":"N","non-dropping-particle":"","parse-names":false,"suffix":""},{"dropping-particle":"","family":"Reynolds","given":"J C","non-dropping-particle":"","parse-names":false,"suffix":""},{"dropping-particle":"","family":"Yanovski","given":"J A","non-dropping-particle":"","parse-names":false,"suffix":""}],"container-title":"The Journal of clinical endocrinology and metabolism","id":"ITEM-1","issue":"5","issued":{"date-parts":[["2004","5"]]},"page":"2248-53","title":"Weight and body composition changes during and after adjuvant chemotherapy in women with breast cancer.","type":"article-journal","volume":"89"},"uris":["http://www.mendeley.com/documents/?uuid=f860dd78-2e2f-3642-a80d-f8093130f2a1"]},{"id":"ITEM-2","itemData":{"DOI":"10.1007/s10549-012-2200-8","ISSN":"0167-6806","PMID":"22903689","abstract":"Body composition changes cannot be precisely captured using body weight or body mass index measures. Therefore, the primary purpose of this review was to characterize the patterns of body composition change in females treated for breast cancer including only studies that utilize imaging technologies to quantify adipose tissue and lean body mass (LBM). We reviewed PubMed for studies published between 1971 and 2012 involving females diagnosed with breast cancer where computed axial tomography , dual-energy X-ray absorptiometry, or magnetic resonance imaging were employed for body composition assessment. Of the initial 440 studies, 106 papers were evaluated and 36 papers met all eligibility criteria (15 observational and 21 intervention trials). Results of these studies revealed that body weight did not consistently increase. Importantly, studies also showed that body weight did not accurately depict changes in lean or adipose tissues. Further findings included that sarcopenic obesity as a consequence of breast cancer treatment was not definitive, as menopausal status may be a substantial moderator of body composition. Overall, the behavioral interventions did not exhibit consistent or profound effects on body composition outcomes; approximately half showed favorable influence on adiposity while the effects on LBM were not apparent. The use of tamoxifen had a clear negative impact on body composition. The majority of studies were conducted in predominantly white survivors, highlighting the need for trials in minority populations. Collectively, these studies were limited by age, race, and/or menopause status matched control groups, overall size, and statistical power. Very few studies simultaneously collected diet and exercise data-two potential factors that impact body composition. Future breast cancer trials should prioritize precise body composition methodologies to elucidate how these changes impact recurrence, prognosis, and mortality, and to provide clinicians with appropriate advice regarding lifestyle recommendations in this growing sector of the population.","author":[{"dropping-particle":"","family":"Sheean","given":"Patricia M.","non-dropping-particle":"","parse-names":false,"suffix":""},{"dropping-particle":"","family":"Hoskins","given":"Kent","non-dropping-particle":"","parse-names":false,"suffix":""},{"dropping-particle":"","family":"Stolley","given":"Melinda","non-dropping-particle":"","parse-names":false,"suffix":""}],"container-title":"Breast Cancer Research and Treatment","id":"ITEM-2","issue":"3","issued":{"date-parts":[["2012","10","19"]]},"page":"663-680","title":"Body composition changes in females treated for breast cancer: a review of the evidence","type":"article-journal","volume":"135"},"uris":["http://www.mendeley.com/documents/?uuid=9c3f22f1-a132-3788-a3f7-07ce191291c5"]}],"mendeley":{"formattedCitation":"(18,42)","plainTextFormattedCitation":"(18,42)","previouslyFormattedCitation":"(18,41)"},"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(18,42)</w:t>
      </w:r>
      <w:r>
        <w:rPr>
          <w:rFonts w:ascii="Book Antiqua" w:eastAsia="Book Antiqua" w:hAnsi="Book Antiqua" w:cs="Book Antiqua"/>
        </w:rPr>
        <w:fldChar w:fldCharType="end"/>
      </w:r>
      <w:r w:rsidRPr="00EB5BE3">
        <w:rPr>
          <w:rFonts w:ascii="Book Antiqua" w:eastAsia="Book Antiqua" w:hAnsi="Book Antiqua" w:cs="Book Antiqua"/>
        </w:rPr>
        <w:t xml:space="preserve">. </w:t>
      </w:r>
      <w:r w:rsidRPr="00E830A5">
        <w:rPr>
          <w:rFonts w:ascii="Book Antiqua" w:eastAsia="Book Antiqua" w:hAnsi="Book Antiqua" w:cs="Book Antiqua"/>
        </w:rPr>
        <w:t xml:space="preserve">Elevated levels of body fat increase the levels of circulating inflammatory </w:t>
      </w:r>
      <w:r w:rsidRPr="005B4873">
        <w:rPr>
          <w:rFonts w:ascii="Book Antiqua" w:eastAsia="Book Antiqua" w:hAnsi="Book Antiqua" w:cs="Book Antiqua"/>
        </w:rPr>
        <w:t xml:space="preserve">markers, further exacerbating the loss of LST </w:t>
      </w:r>
      <w:r w:rsidRPr="005B4873">
        <w:rPr>
          <w:rFonts w:ascii="Book Antiqua" w:eastAsia="Book Antiqua" w:hAnsi="Book Antiqua" w:cs="Book Antiqua"/>
        </w:rPr>
        <w:fldChar w:fldCharType="begin" w:fldLock="1"/>
      </w:r>
      <w:r w:rsidRPr="005B4873">
        <w:rPr>
          <w:rFonts w:ascii="Book Antiqua" w:eastAsia="Book Antiqua" w:hAnsi="Book Antiqua" w:cs="Book Antiqua"/>
        </w:rPr>
        <w:instrText>ADDIN CSL_CITATION {"citationItems":[{"id":"ITEM-1","itemData":{"DOI":"10.1152/ajpendo.00110.2003","ISSN":"0193-1849","author":[{"dropping-particle":"","family":"Bruun","given":"Jens M.","non-dropping-particle":"","parse-names":false,"suffix":""},{"dropping-particle":"","family":"Lihn","given":"Aina S.","non-dropping-particle":"","parse-names":false,"suffix":""},{"dropping-particle":"","family":"Verdich","given":"Camilla","non-dropping-particle":"","parse-names":false,"suffix":""},{"dropping-particle":"","family":"Pedersen","given":"Steen B.","non-dropping-particle":"","parse-names":false,"suffix":""},{"dropping-particle":"","family":"Toubro","given":"Søren","non-dropping-particle":"","parse-names":false,"suffix":""},{"dropping-particle":"","family":"Astrup","given":"Arne","non-dropping-particle":"","parse-names":false,"suffix":""},{"dropping-particle":"","family":"Richelsen","given":"Bjørn","non-dropping-particle":"","parse-names":false,"suffix":""}],"container-title":"American Journal of Physiology-Endocrinology and Metabolism","id":"ITEM-1","issue":"3","issued":{"date-parts":[["2003","9"]]},"page":"E527-E533","title":"Regulation of adiponectin by adipose tissue-derived cytokines: in vivo and in vitro investigations in humans","type":"article-journal","volume":"285"},"uris":["http://www.mendeley.com/documents/?uuid=6d7ac98b-999d-3369-86c2-c8cdec7f7bd5"]}],"mendeley":{"formattedCitation":"(7)","plainTextFormattedCitation":"(7)","previouslyFormattedCitation":"(7)"},"properties":{"noteIndex":0},"schema":"https://github.com/citation-style-language/schema/raw/master/csl-citation.json"}</w:instrText>
      </w:r>
      <w:r w:rsidRPr="005B4873">
        <w:rPr>
          <w:rFonts w:ascii="Book Antiqua" w:eastAsia="Book Antiqua" w:hAnsi="Book Antiqua" w:cs="Book Antiqua"/>
        </w:rPr>
        <w:fldChar w:fldCharType="separate"/>
      </w:r>
      <w:r w:rsidRPr="005B4873">
        <w:rPr>
          <w:rFonts w:ascii="Book Antiqua" w:eastAsia="Book Antiqua" w:hAnsi="Book Antiqua" w:cs="Book Antiqua"/>
          <w:noProof/>
        </w:rPr>
        <w:t>(7)</w:t>
      </w:r>
      <w:r w:rsidRPr="005B4873">
        <w:rPr>
          <w:rFonts w:ascii="Book Antiqua" w:eastAsia="Book Antiqua" w:hAnsi="Book Antiqua" w:cs="Book Antiqua"/>
        </w:rPr>
        <w:fldChar w:fldCharType="end"/>
      </w:r>
      <w:r w:rsidRPr="005B4873">
        <w:rPr>
          <w:rFonts w:ascii="Book Antiqua" w:eastAsia="Book Antiqua" w:hAnsi="Book Antiqua" w:cs="Book Antiqua"/>
        </w:rPr>
        <w:t xml:space="preserve">. </w:t>
      </w:r>
      <w:r w:rsidR="005A53CC" w:rsidRPr="005B4873">
        <w:rPr>
          <w:rFonts w:ascii="Book Antiqua" w:eastAsia="Book Antiqua" w:hAnsi="Book Antiqua" w:cs="Book Antiqua"/>
        </w:rPr>
        <w:t>All</w:t>
      </w:r>
      <w:r w:rsidRPr="005B4873">
        <w:rPr>
          <w:rFonts w:ascii="Book Antiqua" w:eastAsia="Book Antiqua" w:hAnsi="Book Antiqua" w:cs="Book Antiqua"/>
        </w:rPr>
        <w:t xml:space="preserve"> these factors ultimately create a vicious cycle of alterations in all three body composition compartments.</w:t>
      </w:r>
    </w:p>
    <w:p w:rsidR="005B4873" w:rsidRPr="005B4873" w:rsidRDefault="005B4873" w:rsidP="005B4873">
      <w:pPr>
        <w:tabs>
          <w:tab w:val="left" w:pos="3519"/>
        </w:tabs>
        <w:jc w:val="both"/>
        <w:rPr>
          <w:rFonts w:ascii="Book Antiqua" w:eastAsia="Book Antiqua" w:hAnsi="Book Antiqua" w:cs="Book Antiqua"/>
        </w:rPr>
      </w:pPr>
    </w:p>
    <w:p w:rsidR="005B4873" w:rsidRPr="005B4873" w:rsidRDefault="005B4873" w:rsidP="005B4873">
      <w:pPr>
        <w:tabs>
          <w:tab w:val="left" w:pos="3519"/>
        </w:tabs>
        <w:jc w:val="both"/>
        <w:rPr>
          <w:rFonts w:ascii="Book Antiqua" w:eastAsia="Book Antiqua" w:hAnsi="Book Antiqua" w:cs="Book Antiqua"/>
        </w:rPr>
      </w:pPr>
      <w:r w:rsidRPr="005B4873">
        <w:rPr>
          <w:rFonts w:ascii="Book Antiqua" w:eastAsia="Book Antiqua" w:hAnsi="Book Antiqua" w:cs="Book Antiqua"/>
        </w:rPr>
        <w:t xml:space="preserve">The cancer and/or treatment-related alterations in body composition may lead to phenotypes known as sarcopenia (low muscle/lean soft tissue) and sarcopenic obesity (combined sarcopenia with excess body weight). Sarcopenia and sarcopenic obesity are  prevalent and are predictors of poorer prognosis in breast cancer patients </w:t>
      </w:r>
      <w:r w:rsidRPr="005B4873">
        <w:rPr>
          <w:rFonts w:ascii="Book Antiqua" w:eastAsia="Book Antiqua" w:hAnsi="Book Antiqua" w:cs="Book Antiqua"/>
        </w:rPr>
        <w:fldChar w:fldCharType="begin" w:fldLock="1"/>
      </w:r>
      <w:r w:rsidRPr="005B4873">
        <w:rPr>
          <w:rFonts w:ascii="Book Antiqua" w:eastAsia="Book Antiqua" w:hAnsi="Book Antiqua" w:cs="Book Antiqua"/>
        </w:rPr>
        <w:instrText>ADDIN CSL_CITATION {"citationItems":[{"id":"ITEM-1","itemData":{"DOI":"10.1158/1078-0432.CCR-08-2242; 10.1158/1078-0432.CCR-08-2242","ISBN":"1078-0432; 1078-0432","PMID":"19351764","abstract":"PURPOSE: Body composition has emerged as an important prognostic factor in cancer patients. Severe depletion of skeletal muscle (sarcopenia) and, hence, of overall lean body mass may represent an occult condition in individuals with normal or even high body weight. Sarcopenia has been associated with poor performance status, 5-fluorouracil toxicity, and shortened survival in cancer patients. Here, we prospectively studied patients with metastatic breast cancer receiving capecitabine treatment in order to determine if sarcopenia was associated with a higher incidence of toxicity and a shorter time to tumor progression (TTP). EXPERIMENTAL DESIGN: Fifty-five women with metastatic breast cancer resistant to anthracycline and/or taxane treatment were included. Skeletal muscle cross-sectional area at the third lumbar vertebra was measured by computerized tomography, and sarcopenia was defined using a previously published cutoff point. Toxicity was assessed after cycle 1 of treatment, and TTP was determined prospectively. RESULTS: Approximately 25% of patients were classified as sarcopenic, and this feature was seen in normal weight, overweight, and obese individuals. Toxicity was present in 50% of sarcopenic patients, compared with only 20% of nonsarcopenic patients (P = 0.03), and TTP was shorter in sarcopenic patients (101.4 days; confidence interval, 59.8-142.9) versus nonsarcopenic patients (173.3 days; confidence interval, 126.1-220.5; P = 0.05). CONCLUSION: Sarcopenia is a significant predictor of toxicity and TTP in metastatic breast cancer patients treated with capecitabine. Our results raise the potential use of body composition assessment to predict toxicity and individualize chemotherapy dosing.","author":[{"dropping-particle":"","family":"Prado","given":"C M","non-dropping-particle":"","parse-names":false,"suffix":""},{"dropping-particle":"","family":"Baracos","given":"V E","non-dropping-particle":"","parse-names":false,"suffix":""},{"dropping-particle":"","family":"McCargar","given":"L J","non-dropping-particle":"","parse-names":false,"suffix":""},{"dropping-particle":"","family":"Reiman","given":"T","non-dropping-particle":"","parse-names":false,"suffix":""},{"dropping-particle":"","family":"Mourtzakis","given":"M","non-dropping-particle":"","parse-names":false,"suffix":""},{"dropping-particle":"","family":"Tonkin","given":"K","non-dropping-particle":"","parse-names":false,"suffix":""},{"dropping-particle":"","family":"Mackey","given":"J R","non-dropping-particle":"","parse-names":false,"suffix":""},{"dropping-particle":"","family":"Koski","given":"S","non-dropping-particle":"","parse-names":false,"suffix":""},{"dropping-particle":"","family":"Pituskin","given":"E","non-dropping-particle":"","parse-names":false,"suffix":""},{"dropping-particle":"","family":"Sawyer","given":"M B","non-dropping-particle":"","parse-names":false,"suffix":""}],"container-title":"Clinical cancer research : an official journal of the American Association for Cancer Research","id":"ITEM-1","issue":"8","issued":{"date-parts":[["2009","4"]]},"note":"LR: 20130528; JID: 9502500; 0 (Antimetabolites, Antineoplastic); 51-21-8 (Fluorouracil); 6804DJ8Z9U (capecitabine); 951-77-9 (Deoxycytidine); 2009/04/07 [aheadofprint]; ppublish","page":"2920-2926","title":"Sarcopenia as a determinant of chemotherapy toxicity and time to tumor progression in metastatic breast cancer patients receiving capecitabine treatment","type":"article-journal","volume":"15"},"uris":["http://www.mendeley.com/documents/?uuid=c8243302-e7b4-4103-8700-841c554590bb"]},{"id":"ITEM-2","itemData":{"DOI":"10.1016/j.clnu.2012.06.010; 10.1016/j.clnu.2012.06.010","ISBN":"1532-1983; 0261-5614","PMID":"22809635","abstract":"Sarcopenic obesity (SO) is assuming a prominent role as a risk factor because of the double metabolic burden derived from low muscle mass (sarcopenia) and excess adiposity (obesity). The increase in obesity prevalence rates in older subjects is of concern given the associated disease risks and more limited therapeutic options available in this age group. This review has two main objectives. The primary objective is to collate results from studies investigating the effects of SO on physical and cardio-metabolic functions. The secondary objective is to evaluate published studies for consistency in methodology, diagnostic criteria, exposure and outcome selection. Large between-study heterogeneity was observed in the application of diagnostic criteria and choice of body composition components for the assessment of SO, which contributes to the inconsistent associations of SO with cardio-metabolic outcomes. We propose a metabolic load:capacity model of SO given by the ratio between fat mass and fat free mass, and discuss how this could be operationalised. The concept of regional fat distribution could be incorporated into the model and tested in future studies to advance our understanding of SO as a predictor of risk for cardio-metabolic diseases and physical disability.","author":[{"dropping-particle":"","family":"Prado","given":"C M","non-dropping-particle":"","parse-names":false,"suffix":""},{"dropping-particle":"","family":"Wells","given":"J C","non-dropping-particle":"","parse-names":false,"suffix":""},{"dropping-particle":"","family":"Smith","given":"S R","non-dropping-particle":"","parse-names":false,"suffix":""},{"dropping-particle":"","family":"Stephan","given":"B C","non-dropping-particle":"","parse-names":false,"suffix":""},{"dropping-particle":"","family":"Siervo","given":"M","non-dropping-particle":"","parse-names":false,"suffix":""}],"container-title":"Clinical nutrition (Edinburgh, Scotland)","id":"ITEM-2","issue":"5","issued":{"date-parts":[["2012","10"]]},"note":"CI: Copyright (c) 2012; JID: 8309603; 2011/12/20 [received]; 2012/03/25 [revised]; 2012/06/11 [accepted]; 2012/07/17 [aheadofprint]; ppublish","page":"583-601","title":"Sarcopenic obesity: A Critical appraisal of the current evidence","type":"article-journal","volume":"31"},"uris":["http://www.mendeley.com/documents/?uuid=f14ec48e-512f-4d81-8e5a-2d17a9dd546a"]}],"mendeley":{"formattedCitation":"(39,40)","plainTextFormattedCitation":"(39,40)","previouslyFormattedCitation":"(38,39)"},"properties":{"noteIndex":0},"schema":"https://github.com/citation-style-language/schema/raw/master/csl-citation.json"}</w:instrText>
      </w:r>
      <w:r w:rsidRPr="005B4873">
        <w:rPr>
          <w:rFonts w:ascii="Book Antiqua" w:eastAsia="Book Antiqua" w:hAnsi="Book Antiqua" w:cs="Book Antiqua"/>
        </w:rPr>
        <w:fldChar w:fldCharType="separate"/>
      </w:r>
      <w:r w:rsidRPr="005B4873">
        <w:rPr>
          <w:rFonts w:ascii="Book Antiqua" w:eastAsia="Book Antiqua" w:hAnsi="Book Antiqua" w:cs="Book Antiqua"/>
          <w:noProof/>
        </w:rPr>
        <w:t>(39,40)</w:t>
      </w:r>
      <w:r w:rsidRPr="005B4873">
        <w:rPr>
          <w:rFonts w:ascii="Book Antiqua" w:eastAsia="Book Antiqua" w:hAnsi="Book Antiqua" w:cs="Book Antiqua"/>
        </w:rPr>
        <w:fldChar w:fldCharType="end"/>
      </w:r>
      <w:r w:rsidRPr="005B4873">
        <w:rPr>
          <w:rFonts w:ascii="Book Antiqua" w:eastAsia="Book Antiqua" w:hAnsi="Book Antiqua" w:cs="Book Antiqua"/>
        </w:rPr>
        <w:t>. Among</w:t>
      </w:r>
      <w:r w:rsidRPr="005B4873">
        <w:rPr>
          <w:rFonts w:ascii="Book Antiqua" w:hAnsi="Book Antiqua"/>
          <w:bCs/>
        </w:rPr>
        <w:t xml:space="preserve"> 471 women with stages I-III breast cancer, sarcopenia was evident in 16% of the women, and was an independent predictor of shorter survival </w:t>
      </w:r>
      <w:r w:rsidRPr="005B4873">
        <w:rPr>
          <w:rFonts w:ascii="Book Antiqua" w:hAnsi="Book Antiqua"/>
          <w:bCs/>
        </w:rPr>
        <w:fldChar w:fldCharType="begin" w:fldLock="1"/>
      </w:r>
      <w:r w:rsidRPr="005B4873">
        <w:rPr>
          <w:rFonts w:ascii="Book Antiqua" w:hAnsi="Book Antiqua"/>
          <w:bCs/>
        </w:rPr>
        <w:instrText>ADDIN CSL_CITATION {"citationItems":[{"id":"ITEM-1","itemData":{"DOI":"10.1007/s11764-012-0234-x","ISSN":"1932-2267","PMID":"23054848","abstract":"PURPOSE This study aimed to determine the prevalence of sarcopenia and examine whether sarcopenia was associated with overall and breast-cancer-specific mortality in a cohort of women diagnosed with breast cancer (stages I-IIIA). METHODS A total of 471 breast cancer patients from western Washington State and New Mexico who participated in the prospective Health, Eating, Activity, and Lifestyle Study were included in this study. Appendicular lean mass was measured using dual X-ray absorptiometry scans at study inception, on average, 12 months after diagnosis. Sarcopenia was defined as two standard deviations below the young healthy adult female mean of appendicular lean mass divided by height squared (&lt;5.45 kg/m(2)). Total and breast-cancer-specific mortality data were obtained from Surveillance Epidemiology and End Results registries. Multivariable Cox proportional hazard models assessed the associations between sarcopenia and mortality. RESULTS Median follow-up was 9.2 years; 75 women were classified as sarcopenic, and among 92 deaths, 46 were attributed to breast cancer. In multivariable models that included age, race-ethnicity/study site, treatment type, comorbidities, waist circumference, and total body fat percentage, sarcopenia was independently associated with overall mortality (hazard ratio (HR)</w:instrText>
      </w:r>
      <w:r w:rsidRPr="005B4873">
        <w:rPr>
          <w:bCs/>
        </w:rPr>
        <w:instrText> </w:instrText>
      </w:r>
      <w:r w:rsidRPr="005B4873">
        <w:rPr>
          <w:rFonts w:ascii="Book Antiqua" w:hAnsi="Book Antiqua"/>
          <w:bCs/>
        </w:rPr>
        <w:instrText>=</w:instrText>
      </w:r>
      <w:r w:rsidRPr="005B4873">
        <w:rPr>
          <w:bCs/>
        </w:rPr>
        <w:instrText> </w:instrText>
      </w:r>
      <w:r w:rsidRPr="005B4873">
        <w:rPr>
          <w:rFonts w:ascii="Book Antiqua" w:hAnsi="Book Antiqua"/>
          <w:bCs/>
        </w:rPr>
        <w:instrText>2.86; 95</w:instrText>
      </w:r>
      <w:r w:rsidRPr="005B4873">
        <w:rPr>
          <w:rFonts w:ascii="Book Antiqua" w:hAnsi="Book Antiqua" w:cs="Book Antiqua"/>
          <w:bCs/>
        </w:rPr>
        <w:instrText> </w:instrText>
      </w:r>
      <w:r w:rsidRPr="005B4873">
        <w:rPr>
          <w:rFonts w:ascii="Book Antiqua" w:hAnsi="Book Antiqua"/>
          <w:bCs/>
        </w:rPr>
        <w:instrText>% CI, 1.67-4.89). Sarcopenic women had increased risk of breast-cancer-specific mortality, although the association was not statistically significant (HR</w:instrText>
      </w:r>
      <w:r w:rsidRPr="005B4873">
        <w:rPr>
          <w:bCs/>
        </w:rPr>
        <w:instrText> </w:instrText>
      </w:r>
      <w:r w:rsidRPr="005B4873">
        <w:rPr>
          <w:rFonts w:ascii="Book Antiqua" w:hAnsi="Book Antiqua"/>
          <w:bCs/>
        </w:rPr>
        <w:instrText>=</w:instrText>
      </w:r>
      <w:r w:rsidRPr="005B4873">
        <w:rPr>
          <w:bCs/>
        </w:rPr>
        <w:instrText> </w:instrText>
      </w:r>
      <w:r w:rsidRPr="005B4873">
        <w:rPr>
          <w:rFonts w:ascii="Book Antiqua" w:hAnsi="Book Antiqua"/>
          <w:bCs/>
        </w:rPr>
        <w:instrText>1.95, 95 % CI, 0.87-4.35). CONCLUSION Sarcopenia is associated with an increased risk of overall mortality in breast cancer survivors and may be associated with breast-cancer-specific mortality. The development of effective interventions to maintain and/or increase skeletal muscle mass to improve prognosis in breast cancer survivors warrants further study. IMPLICATIONS FOR CANCER SURVIVORS Such interventions may help breast cancer patients live longer.","author":[{"dropping-particle":"","family":"Villaseñor","given":"Adriana","non-dropping-particle":"","parse-names":false,"suffix":""},{"dropping-particle":"","family":"Ballard-Barbash","given":"Rachel","non-dropping-particle":"","parse-names":false,"suffix":""},{"dropping-particle":"","family":"Baumgartner","given":"Kathy","non-dropping-particle":"","parse-names":false,"suffix":""},{"dropping-particle":"","family":"Baumgartner","given":"Richard","non-dropping-particle":"","parse-names":false,"suffix":""},{"dropping-particle":"","family":"Bernstein","given":"Leslie","non-dropping-particle":"","parse-names":false,"suffix":""},{"dropping-particle":"","family":"McTiernan","given":"Anne","non-dropping-particle":"","parse-names":false,"suffix":""},{"dropping-particle":"","family":"Neuhouser","given":"Marian L","non-dropping-particle":"","parse-names":false,"suffix":""}],"container-title":"Journal of cancer survivorship : research and practice","id":"ITEM-1","issue":"4","issued":{"date-parts":[["2012","12","4"]]},"page":"398-406","title":"Prevalence and prognostic effect of sarcopenia in breast cancer survivors: the HEAL Study.","type":"article-journal","volume":"6"},"uris":["http://www.mendeley.com/documents/?uuid=f11a0e8a-6f3f-3902-ad1c-7e946f2de3e2"]}],"mendeley":{"formattedCitation":"(49)","plainTextFormattedCitation":"(49)","previouslyFormattedCitation":"(48)"},"properties":{"noteIndex":0},"schema":"https://github.com/citation-style-language/schema/raw/master/csl-citation.json"}</w:instrText>
      </w:r>
      <w:r w:rsidRPr="005B4873">
        <w:rPr>
          <w:rFonts w:ascii="Book Antiqua" w:hAnsi="Book Antiqua"/>
          <w:bCs/>
        </w:rPr>
        <w:fldChar w:fldCharType="separate"/>
      </w:r>
      <w:r w:rsidRPr="005B4873">
        <w:rPr>
          <w:rFonts w:ascii="Book Antiqua" w:hAnsi="Book Antiqua"/>
          <w:bCs/>
          <w:noProof/>
        </w:rPr>
        <w:t>(49)</w:t>
      </w:r>
      <w:r w:rsidRPr="005B4873">
        <w:rPr>
          <w:rFonts w:ascii="Book Antiqua" w:hAnsi="Book Antiqua"/>
          <w:bCs/>
        </w:rPr>
        <w:fldChar w:fldCharType="end"/>
      </w:r>
      <w:r w:rsidRPr="005B4873">
        <w:rPr>
          <w:rFonts w:ascii="Book Antiqua" w:hAnsi="Book Antiqua"/>
          <w:bCs/>
        </w:rPr>
        <w:t xml:space="preserve">. </w:t>
      </w:r>
      <w:r w:rsidRPr="005B4873">
        <w:rPr>
          <w:rFonts w:ascii="Book Antiqua" w:eastAsia="Book Antiqua" w:hAnsi="Book Antiqua" w:cs="Book Antiqua"/>
        </w:rPr>
        <w:t xml:space="preserve">The combined alterations in body composition has been more recently characterized as the multifactorial phenotype termed osteosarcopenic obesity </w:t>
      </w:r>
      <w:r w:rsidRPr="005B4873">
        <w:rPr>
          <w:rFonts w:ascii="Book Antiqua" w:eastAsia="Book Antiqua" w:hAnsi="Book Antiqua" w:cs="Book Antiqua"/>
        </w:rPr>
        <w:fldChar w:fldCharType="begin" w:fldLock="1"/>
      </w:r>
      <w:r w:rsidRPr="005B4873">
        <w:rPr>
          <w:rFonts w:ascii="Book Antiqua" w:eastAsia="Book Antiqua" w:hAnsi="Book Antiqua" w:cs="Book Antiqua"/>
        </w:rPr>
        <w:instrText>ADDIN CSL_CITATION {"citationItems":[{"id":"ITEM-1","itemData":{"DOI":"10.1155/2016/7325973","abstract":"Conditions related to body composition and aging, such as osteopenic obesity, sarcopenia/sarcopenic obesity, and the newly termed osteosarcopenic obesity (triad of bone muscle and adipose tissue impairment), are beginning to gain recognition. However there is still a lack of definitive diagnostic criteria for these conditions. Little is known about the long-term impact of these combined conditions of osteoporosis, sarcopenia, and obesity in older adults. Many may go undiagnosed and progress untreated. Therefore, the objective of this research is to create diagnostic criteria for osteosarcopenic obesity in older women. The proposed diagnostic criteria are based on two types of assessments: physical, via body composition measurements, and functional, via physical performance measures. Body composition measurements such as í µí±‡-scores for bone mineral density, appendicular lean mass for sarcopenia, and percent body fat could all be obtained via dual energy X-ray absorptiometry. Physical performance tests: handgrip strength, one-leg stance, walking speed, and sit-to-stand could be assessed with minimal equipment. A score could then be obtained to measure functional decline in the older adult. For diagnosing osteosarcopenic obesity and other conditions related to bone loss and muscle loss combined with obesity, a combination of measures may more adequately improve the assessment process.","author":[{"dropping-particle":"","family":"Ilich","given":"Jasminka Z","non-dropping-particle":"","parse-names":false,"suffix":""},{"dropping-particle":"","family":"Kelly","given":"Owen J","non-dropping-particle":"","parse-names":false,"suffix":""},{"dropping-particle":"","family":"Inglis","given":"Julia E","non-dropping-particle":"","parse-names":false,"suffix":""}],"id":"ITEM-1","issued":{"date-parts":[["0"]]},"title":"Osteosarcopenic Obesity Syndrome: What Is It and How Can It Be Identified and Diagnosed?","type":"article-journal"},"uris":["http://www.mendeley.com/documents/?uuid=c1619349-53aa-3e89-9f25-c3ab65c9a28f"]}],"mendeley":{"formattedCitation":"(29)","plainTextFormattedCitation":"(29)","previouslyFormattedCitation":"(28)"},"properties":{"noteIndex":0},"schema":"https://github.com/citation-style-language/schema/raw/master/csl-citation.json"}</w:instrText>
      </w:r>
      <w:r w:rsidRPr="005B4873">
        <w:rPr>
          <w:rFonts w:ascii="Book Antiqua" w:eastAsia="Book Antiqua" w:hAnsi="Book Antiqua" w:cs="Book Antiqua"/>
        </w:rPr>
        <w:fldChar w:fldCharType="separate"/>
      </w:r>
      <w:r w:rsidRPr="005B4873">
        <w:rPr>
          <w:rFonts w:ascii="Book Antiqua" w:eastAsia="Book Antiqua" w:hAnsi="Book Antiqua" w:cs="Book Antiqua"/>
          <w:noProof/>
        </w:rPr>
        <w:t>(29)</w:t>
      </w:r>
      <w:r w:rsidRPr="005B4873">
        <w:rPr>
          <w:rFonts w:ascii="Book Antiqua" w:eastAsia="Book Antiqua" w:hAnsi="Book Antiqua" w:cs="Book Antiqua"/>
        </w:rPr>
        <w:fldChar w:fldCharType="end"/>
      </w:r>
      <w:r w:rsidRPr="005B4873">
        <w:rPr>
          <w:rFonts w:ascii="Book Antiqua" w:eastAsia="Book Antiqua" w:hAnsi="Book Antiqua" w:cs="Book Antiqua"/>
        </w:rPr>
        <w:t xml:space="preserve">. </w:t>
      </w:r>
    </w:p>
    <w:p w:rsidR="005B4873" w:rsidRPr="005B4873" w:rsidRDefault="005B4873" w:rsidP="005B4873">
      <w:pPr>
        <w:tabs>
          <w:tab w:val="left" w:pos="3519"/>
        </w:tabs>
        <w:jc w:val="both"/>
        <w:rPr>
          <w:rFonts w:ascii="Book Antiqua" w:eastAsia="Book Antiqua" w:hAnsi="Book Antiqua" w:cs="Book Antiqua"/>
        </w:rPr>
      </w:pPr>
    </w:p>
    <w:p w:rsidR="005B4873" w:rsidRPr="005B4873" w:rsidRDefault="005B4873" w:rsidP="005B4873">
      <w:pPr>
        <w:autoSpaceDE w:val="0"/>
        <w:autoSpaceDN w:val="0"/>
        <w:adjustRightInd w:val="0"/>
        <w:rPr>
          <w:rFonts w:ascii="Book Antiqua" w:eastAsia="Book Antiqua" w:hAnsi="Book Antiqua" w:cs="Book Antiqua"/>
        </w:rPr>
      </w:pPr>
      <w:r w:rsidRPr="005B4873">
        <w:rPr>
          <w:rFonts w:ascii="Book Antiqua" w:eastAsia="Book Antiqua" w:hAnsi="Book Antiqua" w:cs="Book Antiqua"/>
        </w:rPr>
        <w:t xml:space="preserve">Abnormal body composition may have an impact beyond cancer disease trajectory affecting survivorship. Consequences of decrements in LST include reductions in muscular strength </w:t>
      </w:r>
      <w:r w:rsidRPr="005B4873">
        <w:rPr>
          <w:rFonts w:ascii="Book Antiqua" w:eastAsia="Book Antiqua" w:hAnsi="Book Antiqua" w:cs="Book Antiqua"/>
        </w:rPr>
        <w:fldChar w:fldCharType="begin" w:fldLock="1"/>
      </w:r>
      <w:r w:rsidRPr="005B4873">
        <w:rPr>
          <w:rFonts w:ascii="Book Antiqua" w:eastAsia="Book Antiqua" w:hAnsi="Book Antiqua" w:cs="Book Antiqua"/>
        </w:rPr>
        <w:instrText>ADDIN CSL_CITATION {"citationItems":[{"id":"ITEM-1","itemData":{"DOI":"10.1177/109980040100200304","ISSN":"1099-8004","author":[{"dropping-particle":"","family":"Al-Majid","given":"Sadeeka","non-dropping-particle":"","parse-names":false,"suffix":""},{"dropping-particle":"","family":"McCarthy","given":"Donna O.","non-dropping-particle":"","parse-names":false,"suffix":""}],"container-title":"Biological Research For Nursing","id":"ITEM-1","issue":"3","issued":{"date-parts":[["2001","1"]]},"page":"186-197","title":"Cancer-Induced Fatigue and Skeletal Muscle Wasting: The Role of Exercise","type":"article-journal","volume":"2"},"uris":["http://www.mendeley.com/documents/?uuid=8e6ffe18-fe49-3ee3-9261-55142a07128f"]},{"id":"ITEM-2","itemData":{"author":[{"dropping-particle":"","family":"Simonavice, E.; Liu, P.-Y.; Ilich, J.K.; Kim, J.-S.; Panton","given":"L.","non-dropping-particle":"","parse-names":false,"suffix":""}],"container-title":"International journal of body composition research","id":"ITEM-2","issue":"2","issued":{"date-parts":[["2011"]]},"page":"57-64","title":"Body composition, muscular strength, and physical function in breast cancer survivors","type":"article-journal","volume":"9"},"uris":["http://www.mendeley.com/documents/?uuid=88761f96-8959-4a6f-8a65-ef0a0936e26c"]}],"mendeley":{"formattedCitation":"(1,44)","plainTextFormattedCitation":"(1,44)","previouslyFormattedCitation":"(1,43)"},"properties":{"noteIndex":0},"schema":"https://github.com/citation-style-language/schema/raw/master/csl-citation.json"}</w:instrText>
      </w:r>
      <w:r w:rsidRPr="005B4873">
        <w:rPr>
          <w:rFonts w:ascii="Book Antiqua" w:eastAsia="Book Antiqua" w:hAnsi="Book Antiqua" w:cs="Book Antiqua"/>
        </w:rPr>
        <w:fldChar w:fldCharType="separate"/>
      </w:r>
      <w:r w:rsidRPr="005B4873">
        <w:rPr>
          <w:rFonts w:ascii="Book Antiqua" w:eastAsia="Book Antiqua" w:hAnsi="Book Antiqua" w:cs="Book Antiqua"/>
          <w:noProof/>
        </w:rPr>
        <w:t>(1,44)</w:t>
      </w:r>
      <w:r w:rsidRPr="005B4873">
        <w:rPr>
          <w:rFonts w:ascii="Book Antiqua" w:eastAsia="Book Antiqua" w:hAnsi="Book Antiqua" w:cs="Book Antiqua"/>
        </w:rPr>
        <w:fldChar w:fldCharType="end"/>
      </w:r>
      <w:r w:rsidRPr="005B4873">
        <w:rPr>
          <w:rFonts w:ascii="Book Antiqua" w:eastAsia="Book Antiqua" w:hAnsi="Book Antiqua" w:cs="Book Antiqua"/>
        </w:rPr>
        <w:t xml:space="preserve"> and alterations in metabolism </w:t>
      </w:r>
      <w:r w:rsidRPr="005B4873">
        <w:rPr>
          <w:rFonts w:ascii="Book Antiqua" w:eastAsia="Book Antiqua" w:hAnsi="Book Antiqua" w:cs="Book Antiqua"/>
        </w:rPr>
        <w:fldChar w:fldCharType="begin" w:fldLock="1"/>
      </w:r>
      <w:r w:rsidRPr="005B4873">
        <w:rPr>
          <w:rFonts w:ascii="Book Antiqua" w:eastAsia="Book Antiqua" w:hAnsi="Book Antiqua" w:cs="Book Antiqua"/>
        </w:rPr>
        <w:instrText>ADDIN CSL_CITATION {"citationItems":[{"id":"ITEM-1","itemData":{"DOI":"10.1023/B:BREA.0000014037.48744.fa","ISSN":"0167-6806","author":[{"dropping-particle":"","family":"Harvie","given":"Michelle N.","non-dropping-particle":"","parse-names":false,"suffix":""},{"dropping-particle":"","family":"Campbell","given":"I.T.","non-dropping-particle":"","parse-names":false,"suffix":""},{"dropping-particle":"","family":"Baildam","given":"A.","non-dropping-particle":"","parse-names":false,"suffix":""},{"dropping-particle":"","family":"Howell","given":"A.","non-dropping-particle":"","parse-names":false,"suffix":""}],"container-title":"Breast Cancer Research and Treatment","id":"ITEM-1","issue":"3","issued":{"date-parts":[["2004","2"]]},"page":"201-210","title":"Energy Balance in Early Breast Cancer Patients Receiving Adjuvant Chemotherapy","type":"article-journal","volume":"83"},"uris":["http://www.mendeley.com/documents/?uuid=d3fdf70a-f735-3035-a92d-dd866501df49"]}],"mendeley":{"formattedCitation":"(25)","plainTextFormattedCitation":"(25)","previouslyFormattedCitation":"(24)"},"properties":{"noteIndex":0},"schema":"https://github.com/citation-style-language/schema/raw/master/csl-citation.json"}</w:instrText>
      </w:r>
      <w:r w:rsidRPr="005B4873">
        <w:rPr>
          <w:rFonts w:ascii="Book Antiqua" w:eastAsia="Book Antiqua" w:hAnsi="Book Antiqua" w:cs="Book Antiqua"/>
        </w:rPr>
        <w:fldChar w:fldCharType="separate"/>
      </w:r>
      <w:r w:rsidRPr="005B4873">
        <w:rPr>
          <w:rFonts w:ascii="Book Antiqua" w:eastAsia="Book Antiqua" w:hAnsi="Book Antiqua" w:cs="Book Antiqua"/>
          <w:noProof/>
        </w:rPr>
        <w:t>(25)</w:t>
      </w:r>
      <w:r w:rsidRPr="005B4873">
        <w:rPr>
          <w:rFonts w:ascii="Book Antiqua" w:eastAsia="Book Antiqua" w:hAnsi="Book Antiqua" w:cs="Book Antiqua"/>
        </w:rPr>
        <w:fldChar w:fldCharType="end"/>
      </w:r>
      <w:r w:rsidRPr="005B4873">
        <w:rPr>
          <w:rFonts w:ascii="Book Antiqua" w:eastAsia="Book Antiqua" w:hAnsi="Book Antiqua" w:cs="Book Antiqua"/>
        </w:rPr>
        <w:t xml:space="preserve"> in BCS to a greater extent than that observed with normal aging. Changes in body composition and inflammation are also likely to affect resting energy expenditure (REE) as a 3% decline in REE was reported in patients receiving adjuvant </w:t>
      </w:r>
      <w:r w:rsidRPr="005B4873">
        <w:rPr>
          <w:rFonts w:ascii="Book Antiqua" w:eastAsia="Book Antiqua" w:hAnsi="Book Antiqua" w:cs="Book Antiqua"/>
        </w:rPr>
        <w:lastRenderedPageBreak/>
        <w:t xml:space="preserve">chemotherapy, which remained reduced 3 months after completion of treatment </w:t>
      </w:r>
      <w:r w:rsidRPr="005B4873">
        <w:rPr>
          <w:rFonts w:ascii="Book Antiqua" w:eastAsia="Book Antiqua" w:hAnsi="Book Antiqua" w:cs="Book Antiqua"/>
        </w:rPr>
        <w:fldChar w:fldCharType="begin" w:fldLock="1"/>
      </w:r>
      <w:r w:rsidRPr="005B4873">
        <w:rPr>
          <w:rFonts w:ascii="Book Antiqua" w:eastAsia="Book Antiqua" w:hAnsi="Book Antiqua" w:cs="Book Antiqua"/>
        </w:rPr>
        <w:instrText>ADDIN CSL_CITATION {"citationItems":[{"id":"ITEM-1","itemData":{"DOI":"10.1023/B:BREA.0000014037.48744.fa","ISSN":"0167-6806","author":[{"dropping-particle":"","family":"Harvie","given":"Michelle N.","non-dropping-particle":"","parse-names":false,"suffix":""},{"dropping-particle":"","family":"Campbell","given":"I.T.","non-dropping-particle":"","parse-names":false,"suffix":""},{"dropping-particle":"","family":"Baildam","given":"A.","non-dropping-particle":"","parse-names":false,"suffix":""},{"dropping-particle":"","family":"Howell","given":"A.","non-dropping-particle":"","parse-names":false,"suffix":""}],"container-title":"Breast Cancer Research and Treatment","id":"ITEM-1","issue":"3","issued":{"date-parts":[["2004","2"]]},"page":"201-210","title":"Energy Balance in Early Breast Cancer Patients Receiving Adjuvant Chemotherapy","type":"article-journal","volume":"83"},"uris":["http://www.mendeley.com/documents/?uuid=d3fdf70a-f735-3035-a92d-dd866501df49"]}],"mendeley":{"formattedCitation":"(25)","plainTextFormattedCitation":"(25)","previouslyFormattedCitation":"(24)"},"properties":{"noteIndex":0},"schema":"https://github.com/citation-style-language/schema/raw/master/csl-citation.json"}</w:instrText>
      </w:r>
      <w:r w:rsidRPr="005B4873">
        <w:rPr>
          <w:rFonts w:ascii="Book Antiqua" w:eastAsia="Book Antiqua" w:hAnsi="Book Antiqua" w:cs="Book Antiqua"/>
        </w:rPr>
        <w:fldChar w:fldCharType="separate"/>
      </w:r>
      <w:r w:rsidRPr="005B4873">
        <w:rPr>
          <w:rFonts w:ascii="Book Antiqua" w:eastAsia="Book Antiqua" w:hAnsi="Book Antiqua" w:cs="Book Antiqua"/>
          <w:noProof/>
        </w:rPr>
        <w:t>(25)</w:t>
      </w:r>
      <w:r w:rsidRPr="005B4873">
        <w:rPr>
          <w:rFonts w:ascii="Book Antiqua" w:eastAsia="Book Antiqua" w:hAnsi="Book Antiqua" w:cs="Book Antiqua"/>
        </w:rPr>
        <w:fldChar w:fldCharType="end"/>
      </w:r>
      <w:r w:rsidRPr="005B4873">
        <w:rPr>
          <w:rFonts w:ascii="Book Antiqua" w:eastAsia="Book Antiqua" w:hAnsi="Book Antiqua" w:cs="Book Antiqua"/>
        </w:rPr>
        <w:t xml:space="preserve">. Sustained decrements in REE creates an imbalance between energy intake and expenditure that can further persist long-term weight gain in BCS </w:t>
      </w:r>
      <w:r w:rsidRPr="005B4873">
        <w:rPr>
          <w:rFonts w:ascii="Book Antiqua" w:eastAsia="Book Antiqua" w:hAnsi="Book Antiqua" w:cs="Book Antiqua"/>
        </w:rPr>
        <w:fldChar w:fldCharType="begin" w:fldLock="1"/>
      </w:r>
      <w:r w:rsidRPr="005B4873">
        <w:rPr>
          <w:rFonts w:ascii="Book Antiqua" w:eastAsia="Book Antiqua" w:hAnsi="Book Antiqua" w:cs="Book Antiqua"/>
        </w:rPr>
        <w:instrText>ADDIN CSL_CITATION {"citationItems":[{"id":"ITEM-1","itemData":{"DOI":"10.1023/B:BREA.0000014037.48744.fa","ISSN":"0167-6806","author":[{"dropping-particle":"","family":"Harvie","given":"Michelle N.","non-dropping-particle":"","parse-names":false,"suffix":""},{"dropping-particle":"","family":"Campbell","given":"I.T.","non-dropping-particle":"","parse-names":false,"suffix":""},{"dropping-particle":"","family":"Baildam","given":"A.","non-dropping-particle":"","parse-names":false,"suffix":""},{"dropping-particle":"","family":"Howell","given":"A.","non-dropping-particle":"","parse-names":false,"suffix":""}],"container-title":"Breast Cancer Research and Treatment","id":"ITEM-1","issue":"3","issued":{"date-parts":[["2004","2"]]},"page":"201-210","title":"Energy Balance in Early Breast Cancer Patients Receiving Adjuvant Chemotherapy","type":"article-journal","volume":"83"},"uris":["http://www.mendeley.com/documents/?uuid=d3fdf70a-f735-3035-a92d-dd866501df49"]}],"mendeley":{"formattedCitation":"(25)","plainTextFormattedCitation":"(25)","previouslyFormattedCitation":"(24)"},"properties":{"noteIndex":0},"schema":"https://github.com/citation-style-language/schema/raw/master/csl-citation.json"}</w:instrText>
      </w:r>
      <w:r w:rsidRPr="005B4873">
        <w:rPr>
          <w:rFonts w:ascii="Book Antiqua" w:eastAsia="Book Antiqua" w:hAnsi="Book Antiqua" w:cs="Book Antiqua"/>
        </w:rPr>
        <w:fldChar w:fldCharType="separate"/>
      </w:r>
      <w:r w:rsidRPr="005B4873">
        <w:rPr>
          <w:rFonts w:ascii="Book Antiqua" w:eastAsia="Book Antiqua" w:hAnsi="Book Antiqua" w:cs="Book Antiqua"/>
          <w:noProof/>
        </w:rPr>
        <w:t>(25)</w:t>
      </w:r>
      <w:r w:rsidRPr="005B4873">
        <w:rPr>
          <w:rFonts w:ascii="Book Antiqua" w:eastAsia="Book Antiqua" w:hAnsi="Book Antiqua" w:cs="Book Antiqua"/>
        </w:rPr>
        <w:fldChar w:fldCharType="end"/>
      </w:r>
      <w:r w:rsidRPr="005B4873">
        <w:rPr>
          <w:rFonts w:ascii="Book Antiqua" w:eastAsia="Book Antiqua" w:hAnsi="Book Antiqua" w:cs="Book Antiqua"/>
        </w:rPr>
        <w:t xml:space="preserve">. </w:t>
      </w:r>
    </w:p>
    <w:p w:rsidR="005B4873" w:rsidRPr="005B4873" w:rsidRDefault="005B4873" w:rsidP="005B4873">
      <w:pPr>
        <w:tabs>
          <w:tab w:val="left" w:pos="3519"/>
        </w:tabs>
        <w:jc w:val="both"/>
        <w:rPr>
          <w:rFonts w:ascii="Book Antiqua" w:eastAsia="Book Antiqua" w:hAnsi="Book Antiqua" w:cs="Book Antiqua"/>
        </w:rPr>
      </w:pPr>
    </w:p>
    <w:p w:rsidR="00BC5097" w:rsidRPr="00635467" w:rsidRDefault="005B4873" w:rsidP="005B4873">
      <w:pPr>
        <w:rPr>
          <w:rFonts w:ascii="Book Antiqua" w:hAnsi="Book Antiqua" w:cs="Aharoni"/>
        </w:rPr>
      </w:pPr>
      <w:bookmarkStart w:id="0" w:name="_Hlk26904580"/>
      <w:r w:rsidRPr="005B4873">
        <w:rPr>
          <w:rFonts w:ascii="Book Antiqua" w:eastAsia="Book Antiqua" w:hAnsi="Book Antiqua" w:cs="Book Antiqua"/>
        </w:rPr>
        <w:t xml:space="preserve">Despite an understanding of the mechanisms contributing to the accelerated age-related changes in body composition in early BCS it is unclear whether these differences persist several years into survival. Similarly, it is yet to be determined whether associated factors such as increased inflammation and depressed REE exist in BCS several years posttreatment.  </w:t>
      </w:r>
      <w:bookmarkEnd w:id="0"/>
      <w:r w:rsidRPr="005B4873">
        <w:rPr>
          <w:rFonts w:ascii="Book Antiqua" w:eastAsia="Book Antiqua" w:hAnsi="Book Antiqua" w:cs="Book Antiqua"/>
        </w:rPr>
        <w:t>A reasonable follow-up question from the research conducted, is whether the changes in body composition, inflammation, and metabolism in BCS that are several years posttreatment is attenuated and resembles that of normal aging. Therefore, the aim of this cross-sectional study was to compare the differences in body composition and the prevalence of osteosarcopenic obesity between BCS and age-matched women without a prior cancer diagnosis (control). A secondary aim of the study was to evaluate the differences in the metabolic and inflammatory profile between BCS and control relative to the differences in body composition.</w:t>
      </w:r>
    </w:p>
    <w:p w:rsidR="007F5319" w:rsidRPr="00635467" w:rsidRDefault="007F5319" w:rsidP="00BA521A">
      <w:pPr>
        <w:pStyle w:val="Heading2"/>
        <w:rPr>
          <w:rFonts w:ascii="Book Antiqua" w:hAnsi="Book Antiqua"/>
          <w:b w:val="0"/>
          <w:caps/>
        </w:rPr>
      </w:pPr>
    </w:p>
    <w:p w:rsidR="00BC5097" w:rsidRPr="00635467" w:rsidRDefault="00BC5097" w:rsidP="00BA521A">
      <w:pPr>
        <w:pStyle w:val="Heading2"/>
        <w:rPr>
          <w:rFonts w:ascii="Book Antiqua" w:hAnsi="Book Antiqua" w:cs="Aharoni"/>
          <w:caps/>
        </w:rPr>
      </w:pPr>
      <w:r w:rsidRPr="00635467">
        <w:rPr>
          <w:rFonts w:ascii="Book Antiqua" w:hAnsi="Book Antiqua"/>
          <w:caps/>
        </w:rPr>
        <w:t>Methods</w:t>
      </w:r>
    </w:p>
    <w:p w:rsidR="00BC5097" w:rsidRPr="00635467" w:rsidRDefault="00BC5097">
      <w:pPr>
        <w:rPr>
          <w:rFonts w:ascii="Book Antiqua" w:hAnsi="Book Antiqua" w:cs="Aharoni"/>
        </w:rPr>
      </w:pPr>
    </w:p>
    <w:p w:rsidR="00BC5097" w:rsidRPr="00635467" w:rsidRDefault="00BC5097" w:rsidP="00BC5097">
      <w:pPr>
        <w:jc w:val="both"/>
        <w:rPr>
          <w:rFonts w:ascii="Book Antiqua" w:hAnsi="Book Antiqua"/>
          <w:bCs/>
          <w:i/>
        </w:rPr>
      </w:pPr>
      <w:r w:rsidRPr="00635467">
        <w:rPr>
          <w:rFonts w:ascii="Book Antiqua" w:hAnsi="Book Antiqua"/>
          <w:bCs/>
          <w:i/>
        </w:rPr>
        <w:t>Participants</w:t>
      </w:r>
    </w:p>
    <w:p w:rsidR="007C643B" w:rsidRDefault="007C643B" w:rsidP="007C643B">
      <w:pPr>
        <w:jc w:val="both"/>
        <w:rPr>
          <w:rFonts w:ascii="Book Antiqua" w:eastAsia="Book Antiqua" w:hAnsi="Book Antiqua" w:cs="Book Antiqua"/>
          <w:color w:val="000000"/>
          <w:highlight w:val="white"/>
        </w:rPr>
      </w:pPr>
      <w:r w:rsidRPr="007C643B">
        <w:rPr>
          <w:rFonts w:ascii="Book Antiqua" w:eastAsia="Book Antiqua" w:hAnsi="Book Antiqua" w:cs="Book Antiqua"/>
          <w:color w:val="000000"/>
        </w:rPr>
        <w:t xml:space="preserve">Seventeen post-menopausal female BCS (age: 59±9 years; treated for stages 0-III) and 18 age-matched women (age: 59±6 years) without a prior cancer diagnosis (control) were recruited </w:t>
      </w:r>
      <w:bookmarkStart w:id="1" w:name="_Hlk26964515"/>
      <w:r w:rsidRPr="007C643B">
        <w:rPr>
          <w:rFonts w:ascii="Book Antiqua" w:eastAsia="Book Antiqua" w:hAnsi="Book Antiqua" w:cs="Book Antiqua"/>
          <w:color w:val="000000"/>
        </w:rPr>
        <w:t xml:space="preserve">via flyers posted in the community and recruit through local breast cancer support groups, local churches, groups on campus, and community groups. The BCS were at least three months post primary (surgery) and adjuvant treatment (chemotherapy and/or radiation). Women currently on hormone suppressant therapy were included as these therapies are often prescribed for 10 years post diagnosis. Women diagnosed with stage IV breast cancer or who had active cancer were excluded. The rationale for excluding women with stage IV breast cancer was that these women would likely to have the cancer metastasized to the bone and our study aimed to compare BCS without metastasized cancer to controls. </w:t>
      </w:r>
      <w:bookmarkEnd w:id="1"/>
      <w:r w:rsidRPr="007C643B">
        <w:rPr>
          <w:rFonts w:ascii="Book Antiqua" w:eastAsia="Book Antiqua" w:hAnsi="Book Antiqua" w:cs="Book Antiqua"/>
          <w:color w:val="000000"/>
        </w:rPr>
        <w:t xml:space="preserve">Participants were excluded if they had any physical limitations that would prevent participation in exercise testing, as well as if they had hypo or hyperthyroidism, uncontrolled hypertension, uncontrolled diabetes, heart disease, kidney disease, or were taking medications known to influence metabolism. This research was carried out fully in accordance to the ethical standards of the International Journal of Exercise Science </w:t>
      </w:r>
      <w:r w:rsidRPr="007C643B">
        <w:rPr>
          <w:rFonts w:ascii="Book Antiqua" w:eastAsia="Book Antiqua" w:hAnsi="Book Antiqua" w:cs="Book Antiqua"/>
          <w:color w:val="000000"/>
        </w:rPr>
        <w:fldChar w:fldCharType="begin" w:fldLock="1"/>
      </w:r>
      <w:r w:rsidRPr="007C643B">
        <w:rPr>
          <w:rFonts w:ascii="Book Antiqua" w:eastAsia="Book Antiqua" w:hAnsi="Book Antiqua" w:cs="Book Antiqua"/>
          <w:color w:val="000000"/>
        </w:rPr>
        <w:instrText>ADDIN CSL_CITATION {"citationItems":[{"id":"ITEM-1","itemData":{"author":[{"dropping-particle":"","family":"Navalta, James W.; Stone, Whitley J.; and Lyons","given":"Scott","non-dropping-particle":"","parse-names":false,"suffix":""}],"container-title":"International Journal of Exercise Science","id":"ITEM-1","issue":"1","issued":{"date-parts":[["2019","1","7"]]},"publisher":"Western Kentucky University","title":"Ethical Issues Relating to Scientific Discovery in Exercise Science","type":"article-journal","volume":"12"},"uris":["http://www.mendeley.com/documents/?uuid=31f14252-62e4-3813-8fcc-53fcef14c522"]}],"mendeley":{"formattedCitation":"(33)","plainTextFormattedCitation":"(33)","previouslyFormattedCitation":"(32)"},"properties":{"noteIndex":0},"schema":"https://github.com/citation-style-language/schema/raw/master/csl-citation.json"}</w:instrText>
      </w:r>
      <w:r w:rsidRPr="007C643B">
        <w:rPr>
          <w:rFonts w:ascii="Book Antiqua" w:eastAsia="Book Antiqua" w:hAnsi="Book Antiqua" w:cs="Book Antiqua"/>
          <w:color w:val="000000"/>
        </w:rPr>
        <w:fldChar w:fldCharType="separate"/>
      </w:r>
      <w:r w:rsidRPr="007C643B">
        <w:rPr>
          <w:rFonts w:ascii="Book Antiqua" w:eastAsia="Book Antiqua" w:hAnsi="Book Antiqua" w:cs="Book Antiqua"/>
          <w:noProof/>
          <w:color w:val="000000"/>
        </w:rPr>
        <w:t>(33)</w:t>
      </w:r>
      <w:r w:rsidRPr="007C643B">
        <w:rPr>
          <w:rFonts w:ascii="Book Antiqua" w:eastAsia="Book Antiqua" w:hAnsi="Book Antiqua" w:cs="Book Antiqua"/>
          <w:color w:val="000000"/>
        </w:rPr>
        <w:fldChar w:fldCharType="end"/>
      </w:r>
      <w:r w:rsidRPr="007C643B">
        <w:rPr>
          <w:rFonts w:ascii="Book Antiqua" w:eastAsia="Book Antiqua" w:hAnsi="Book Antiqua" w:cs="Book Antiqua"/>
          <w:color w:val="000000"/>
        </w:rPr>
        <w:t>. The present study was conducted according to the guidelines laid down in the Declaration of Helsinki, and all procedures involving human</w:t>
      </w:r>
      <w:r>
        <w:rPr>
          <w:rFonts w:ascii="Book Antiqua" w:eastAsia="Book Antiqua" w:hAnsi="Book Antiqua" w:cs="Book Antiqua"/>
          <w:color w:val="000000"/>
        </w:rPr>
        <w:t xml:space="preserve"> </w:t>
      </w:r>
      <w:r w:rsidRPr="00C64000">
        <w:rPr>
          <w:rFonts w:ascii="Book Antiqua" w:eastAsia="Book Antiqua" w:hAnsi="Book Antiqua" w:cs="Book Antiqua"/>
          <w:color w:val="000000"/>
        </w:rPr>
        <w:t>participants were approved</w:t>
      </w:r>
      <w:r w:rsidRPr="00EB5BE3">
        <w:rPr>
          <w:rFonts w:ascii="Book Antiqua" w:eastAsia="Book Antiqua" w:hAnsi="Book Antiqua" w:cs="Book Antiqua"/>
          <w:color w:val="000000"/>
        </w:rPr>
        <w:t xml:space="preserve"> by the University Institutional Review Board. Written participant informed consent and physician consent were obtained before participation in the study.  </w:t>
      </w:r>
    </w:p>
    <w:p w:rsidR="007C643B" w:rsidRDefault="007C643B" w:rsidP="007C643B">
      <w:pPr>
        <w:jc w:val="both"/>
        <w:rPr>
          <w:rFonts w:ascii="Book Antiqua" w:eastAsia="Book Antiqua" w:hAnsi="Book Antiqua" w:cs="Book Antiqua"/>
          <w:i/>
        </w:rPr>
      </w:pPr>
    </w:p>
    <w:p w:rsidR="007C643B" w:rsidRDefault="007C643B" w:rsidP="007C643B">
      <w:pPr>
        <w:jc w:val="both"/>
        <w:rPr>
          <w:rFonts w:ascii="Book Antiqua" w:eastAsia="Book Antiqua" w:hAnsi="Book Antiqua" w:cs="Book Antiqua"/>
          <w:i/>
        </w:rPr>
      </w:pPr>
      <w:r>
        <w:rPr>
          <w:rFonts w:ascii="Book Antiqua" w:eastAsia="Book Antiqua" w:hAnsi="Book Antiqua" w:cs="Book Antiqua"/>
          <w:i/>
        </w:rPr>
        <w:t>Protocol</w:t>
      </w:r>
    </w:p>
    <w:p w:rsidR="007C643B" w:rsidRPr="00EB5BE3" w:rsidRDefault="007C643B" w:rsidP="007C643B">
      <w:pPr>
        <w:tabs>
          <w:tab w:val="left" w:pos="3519"/>
        </w:tabs>
        <w:jc w:val="both"/>
        <w:rPr>
          <w:rFonts w:ascii="Book Antiqua" w:eastAsia="Book Antiqua" w:hAnsi="Book Antiqua" w:cs="Book Antiqua"/>
        </w:rPr>
      </w:pPr>
      <w:r w:rsidRPr="00EB5BE3">
        <w:rPr>
          <w:rFonts w:ascii="Book Antiqua" w:eastAsia="Book Antiqua" w:hAnsi="Book Antiqua" w:cs="Book Antiqua"/>
        </w:rPr>
        <w:t xml:space="preserve">Eligible participants were scheduled for two testing visits, each separated by one week. During the first visit, participants completed a demographics and </w:t>
      </w:r>
      <w:r w:rsidRPr="007C643B">
        <w:rPr>
          <w:rFonts w:ascii="Book Antiqua" w:eastAsia="Book Antiqua" w:hAnsi="Book Antiqua" w:cs="Book Antiqua"/>
        </w:rPr>
        <w:t xml:space="preserve">medical history questionnaire. Participants returned to the laboratory after an 8 hour fast between 6:00 AM and 9:00 AM for their second testing visit, which included blood collection and assessments of resting energy </w:t>
      </w:r>
      <w:r w:rsidRPr="007C643B">
        <w:rPr>
          <w:rFonts w:ascii="Book Antiqua" w:eastAsia="Book Antiqua" w:hAnsi="Book Antiqua" w:cs="Book Antiqua"/>
        </w:rPr>
        <w:lastRenderedPageBreak/>
        <w:t>expenditure and body composition. The laboratory</w:t>
      </w:r>
      <w:r w:rsidRPr="00EB5BE3">
        <w:rPr>
          <w:rFonts w:ascii="Book Antiqua" w:eastAsia="Book Antiqua" w:hAnsi="Book Antiqua" w:cs="Book Antiqua"/>
        </w:rPr>
        <w:t xml:space="preserve"> testing visits were separated by at least seven days.  </w:t>
      </w:r>
    </w:p>
    <w:p w:rsidR="007C643B" w:rsidRPr="00EB5BE3" w:rsidRDefault="007C643B" w:rsidP="007C643B">
      <w:pPr>
        <w:tabs>
          <w:tab w:val="left" w:pos="3519"/>
        </w:tabs>
        <w:jc w:val="both"/>
        <w:rPr>
          <w:rFonts w:ascii="Book Antiqua" w:eastAsia="Book Antiqua" w:hAnsi="Book Antiqua" w:cs="Book Antiqua"/>
        </w:rPr>
      </w:pPr>
    </w:p>
    <w:p w:rsidR="007C643B" w:rsidRPr="00EB5BE3" w:rsidRDefault="007C643B" w:rsidP="007C643B">
      <w:pPr>
        <w:tabs>
          <w:tab w:val="left" w:pos="3519"/>
        </w:tabs>
        <w:jc w:val="both"/>
        <w:rPr>
          <w:rFonts w:ascii="Book Antiqua" w:eastAsia="Book Antiqua" w:hAnsi="Book Antiqua" w:cs="Book Antiqua"/>
        </w:rPr>
      </w:pPr>
      <w:r w:rsidRPr="00EB5BE3">
        <w:rPr>
          <w:rFonts w:ascii="Book Antiqua" w:eastAsia="Book Antiqua" w:hAnsi="Book Antiqua" w:cs="Book Antiqua"/>
        </w:rPr>
        <w:t>Prior to testing, participants were asked</w:t>
      </w:r>
      <w:r>
        <w:rPr>
          <w:rFonts w:ascii="Book Antiqua" w:eastAsia="Book Antiqua" w:hAnsi="Book Antiqua" w:cs="Book Antiqua"/>
        </w:rPr>
        <w:t xml:space="preserve"> to</w:t>
      </w:r>
      <w:r w:rsidRPr="00EB5BE3">
        <w:rPr>
          <w:rFonts w:ascii="Book Antiqua" w:eastAsia="Book Antiqua" w:hAnsi="Book Antiqua" w:cs="Book Antiqua"/>
        </w:rPr>
        <w:t xml:space="preserve"> refrain from exercise, caffeine, and alcohol for 24 hours and reported to the laboratory between 0600 and 0900 hours. Fasting (&gt;8 hours) venous blood samples in the amount of 20 milliliters were collected from the antecubital space to measure serum levels of human C-reactive protein (CRP) as measures of systemic inflammation. Due to the scope of this study, this </w:t>
      </w:r>
      <w:r w:rsidR="000641CE" w:rsidRPr="00EB5BE3">
        <w:rPr>
          <w:rFonts w:ascii="Book Antiqua" w:eastAsia="Book Antiqua" w:hAnsi="Book Antiqua" w:cs="Book Antiqua"/>
        </w:rPr>
        <w:t>biomarker</w:t>
      </w:r>
      <w:r w:rsidRPr="00EB5BE3">
        <w:rPr>
          <w:rFonts w:ascii="Book Antiqua" w:eastAsia="Book Antiqua" w:hAnsi="Book Antiqua" w:cs="Book Antiqua"/>
        </w:rPr>
        <w:t xml:space="preserve"> was chosen in order to understand the possible relationships between diet, body composition and inflammation in breast cancer survivors as well as compare these variables to healthy age-matched women.</w:t>
      </w:r>
      <w:r>
        <w:rPr>
          <w:rFonts w:ascii="Book Antiqua" w:eastAsia="Book Antiqua" w:hAnsi="Book Antiqua" w:cs="Book Antiqua"/>
        </w:rPr>
        <w:t xml:space="preserve"> Serum CRP levels greater than 3.0 mg/L was used to determine the presence of low grade chronic inflammation in the present study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{"citationItems":[{"id":"ITEM-1","itemData":{"ISSN":"1535-2811","PMID":"18340209","author":[{"dropping-particle":"","family":"Grundy","given":"Scott M","non-dropping-particle":"","parse-names":false,"suffix":""},{"dropping-particle":"","family":"Cleeman","given":"James I","non-dropping-particle":"","parse-names":false,"suffix":""},{"dropping-particle":"","family":"Daniels","given":"Stephen R","non-dropping-particle":"","parse-names":false,"suffix":""},{"dropping-particle":"","family":"Donato","given":"Karen A","non-dropping-particle":"","parse-names":false,"suffix":""},{"dropping-particle":"","family":"Eckel","given":"Robert H","non-dropping-particle":"","parse-names":false,"suffix":""},{"dropping-particle":"","family":"Franklin","given":"Barry A","non-dropping-particle":"","parse-names":false,"suffix":""},{"dropping-particle":"","family":"Gordon","given":"David J","non-dropping-particle":"","parse-names":false,"suffix":""},{"dropping-particle":"","family":"Krauss","given":"Ronald M","non-dropping-particle":"","parse-names":false,"suffix":""},{"dropping-particle":"","family":"Savage","given":"Peter J","non-dropping-particle":"","parse-names":false,"suffix":""},{"dropping-particle":"","family":"Smith","given":"Sidney C","non-dropping-particle":"","parse-names":false,"suffix":""},{"dropping-particle":"","family":"Spertus","given":"John A","non-dropping-particle":"","parse-names":false,"suffix":""},{"dropping-particle":"","family":"Fernando Costa","given":"","non-dropping-particle":"","parse-names":false,"suffix":""}],"container-title":"Critical pathways in cardiology","id":"ITEM-1","issue":"4","issued":{"date-parts":[["2005","12"]]},"page":"198-203","title":"Diagnosis and management of the metabolic syndrome: an American Heart Association/National Heart, Lung, and Blood Institute scientific statement: Executive Summary.","type":"article-journal","volume":"4"},"uris":["http://www.mendeley.com/documents/?uuid=7633c4fe-f67b-38d0-8873-23e3c72cb05d"]}],"mendeley":{"formattedCitation":"(21)","plainTextFormattedCitation":"(21)"},"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(21)</w:t>
      </w:r>
      <w:r>
        <w:rPr>
          <w:rFonts w:ascii="Book Antiqua" w:eastAsia="Book Antiqua" w:hAnsi="Book Antiqua" w:cs="Book Antiqua"/>
        </w:rPr>
        <w:fldChar w:fldCharType="end"/>
      </w:r>
      <w:r>
        <w:rPr>
          <w:rFonts w:ascii="Book Antiqua" w:eastAsia="Book Antiqua" w:hAnsi="Book Antiqua" w:cs="Book Antiqua"/>
        </w:rPr>
        <w:t xml:space="preserve">. </w:t>
      </w:r>
      <w:r w:rsidRPr="00EB5BE3">
        <w:rPr>
          <w:rFonts w:ascii="Book Antiqua" w:eastAsia="Book Antiqua" w:hAnsi="Book Antiqua" w:cs="Book Antiqua"/>
        </w:rPr>
        <w:t>Analysis of serum CRP was conducted at the conclusion of the study via one enzyme-linked immunosorbent assay (R&amp;D Systems®). The serum samples were run in duplicate and the intra-assay coefficient of variation (CV) was</w:t>
      </w:r>
      <w:r>
        <w:rPr>
          <w:rFonts w:ascii="Book Antiqua" w:eastAsia="Book Antiqua" w:hAnsi="Book Antiqua" w:cs="Book Antiqua"/>
        </w:rPr>
        <w:t xml:space="preserve"> 19.4%</w:t>
      </w:r>
      <w:r w:rsidRPr="00EB5BE3">
        <w:rPr>
          <w:rFonts w:ascii="Book Antiqua" w:eastAsia="Book Antiqua" w:hAnsi="Book Antiqua" w:cs="Book Antiqua"/>
        </w:rPr>
        <w:t xml:space="preserve">. Samples with a CV &gt;20% were excluded from analysis. </w:t>
      </w:r>
    </w:p>
    <w:p w:rsidR="007C643B" w:rsidRPr="00EB5BE3" w:rsidRDefault="007C643B" w:rsidP="007C643B">
      <w:pPr>
        <w:tabs>
          <w:tab w:val="left" w:pos="3519"/>
        </w:tabs>
        <w:jc w:val="both"/>
        <w:rPr>
          <w:rFonts w:ascii="Book Antiqua" w:eastAsia="Book Antiqua" w:hAnsi="Book Antiqua" w:cs="Book Antiqua"/>
        </w:rPr>
      </w:pPr>
    </w:p>
    <w:p w:rsidR="007C643B" w:rsidRPr="00EB5BE3" w:rsidRDefault="007C643B" w:rsidP="007C643B">
      <w:pPr>
        <w:tabs>
          <w:tab w:val="left" w:pos="3519"/>
        </w:tabs>
        <w:jc w:val="both"/>
        <w:rPr>
          <w:rFonts w:ascii="Book Antiqua" w:eastAsia="Book Antiqua" w:hAnsi="Book Antiqua" w:cs="Book Antiqua"/>
        </w:rPr>
      </w:pPr>
      <w:r w:rsidRPr="00EB5BE3">
        <w:rPr>
          <w:rFonts w:ascii="Book Antiqua" w:eastAsia="Book Antiqua" w:hAnsi="Book Antiqua" w:cs="Book Antiqua"/>
        </w:rPr>
        <w:t>Following the blood draw, the participants had their REE</w:t>
      </w:r>
      <w:r>
        <w:rPr>
          <w:rFonts w:ascii="Book Antiqua" w:eastAsia="Book Antiqua" w:hAnsi="Book Antiqua" w:cs="Book Antiqua"/>
        </w:rPr>
        <w:t>, and non-protein respiratory quotient (RQ)</w:t>
      </w:r>
      <w:r w:rsidRPr="00EB5BE3">
        <w:rPr>
          <w:rFonts w:ascii="Book Antiqua" w:eastAsia="Book Antiqua" w:hAnsi="Book Antiqua" w:cs="Book Antiqua"/>
        </w:rPr>
        <w:t xml:space="preserve"> measured via indirect calorimetry using the ventilated hood technique (ParvoMedics TrueOne 2400, Sandy, Utah). The participants were asked to lay supine on a padded table in a dark, quiet and climate-controlled room for a total of 1 hour and 5 minutes, which comprised of 30 minutes at rest, then 35 minutes of continuous gas exchange measurements with the ventilated hood covering the head and torso. The final 30 minutes of gas exchange measurements were used </w:t>
      </w:r>
      <w:r>
        <w:rPr>
          <w:rFonts w:ascii="Book Antiqua" w:eastAsia="Book Antiqua" w:hAnsi="Book Antiqua" w:cs="Book Antiqua"/>
        </w:rPr>
        <w:t>to determine oxygen consumption (VO</w:t>
      </w:r>
      <w:r>
        <w:rPr>
          <w:rFonts w:ascii="Book Antiqua" w:eastAsia="Book Antiqua" w:hAnsi="Book Antiqua" w:cs="Book Antiqua"/>
          <w:vertAlign w:val="subscript"/>
        </w:rPr>
        <w:t>2</w:t>
      </w:r>
      <w:r>
        <w:rPr>
          <w:rFonts w:ascii="Book Antiqua" w:eastAsia="Book Antiqua" w:hAnsi="Book Antiqua" w:cs="Book Antiqua"/>
        </w:rPr>
        <w:t xml:space="preserve">; ml/kg/min), predicted 24 hour </w:t>
      </w:r>
      <w:r w:rsidRPr="000C0824">
        <w:rPr>
          <w:rFonts w:ascii="Book Antiqua" w:eastAsia="Book Antiqua" w:hAnsi="Book Antiqua" w:cs="Book Antiqua"/>
        </w:rPr>
        <w:t>REE</w:t>
      </w:r>
      <w:r>
        <w:rPr>
          <w:rFonts w:ascii="Book Antiqua" w:eastAsia="Book Antiqua" w:hAnsi="Book Antiqua" w:cs="Book Antiqua"/>
        </w:rPr>
        <w:t xml:space="preserve"> (kcal/day) and REE adjusted for LST (kcal</w:t>
      </w:r>
      <w:r w:rsidRPr="000C0824">
        <w:rPr>
          <w:rFonts w:ascii="Book Antiqua" w:eastAsia="Book Antiqua" w:hAnsi="Book Antiqua" w:cs="Book Antiqua"/>
        </w:rPr>
        <w:t>/day/kg)</w:t>
      </w:r>
      <w:r>
        <w:rPr>
          <w:rFonts w:ascii="Book Antiqua" w:eastAsia="Book Antiqua" w:hAnsi="Book Antiqua" w:cs="Book Antiqua"/>
        </w:rPr>
        <w:t xml:space="preserve"> to use for</w:t>
      </w:r>
      <w:r w:rsidRPr="00EB5BE3">
        <w:rPr>
          <w:rFonts w:ascii="Book Antiqua" w:eastAsia="Book Antiqua" w:hAnsi="Book Antiqua" w:cs="Book Antiqua"/>
        </w:rPr>
        <w:t xml:space="preserve"> analysis. </w:t>
      </w:r>
      <w:r w:rsidRPr="00EB5BE3">
        <w:rPr>
          <w:rFonts w:ascii="Book Antiqua" w:eastAsia="Book Antiqua" w:hAnsi="Book Antiqua" w:cs="Book Antiqua"/>
        </w:rPr>
        <w:tab/>
      </w:r>
    </w:p>
    <w:p w:rsidR="007C643B" w:rsidRPr="00EB5BE3" w:rsidRDefault="007C643B" w:rsidP="007C643B">
      <w:pPr>
        <w:tabs>
          <w:tab w:val="left" w:pos="3519"/>
        </w:tabs>
        <w:jc w:val="both"/>
        <w:rPr>
          <w:rFonts w:ascii="Book Antiqua" w:eastAsia="Book Antiqua" w:hAnsi="Book Antiqua" w:cs="Book Antiqua"/>
        </w:rPr>
      </w:pPr>
    </w:p>
    <w:p w:rsidR="007C643B" w:rsidRPr="00EB5BE3" w:rsidRDefault="007C643B" w:rsidP="007C643B">
      <w:pPr>
        <w:tabs>
          <w:tab w:val="left" w:pos="3519"/>
        </w:tabs>
        <w:jc w:val="both"/>
        <w:rPr>
          <w:rFonts w:ascii="Book Antiqua" w:eastAsia="Book Antiqua" w:hAnsi="Book Antiqua" w:cs="Book Antiqua"/>
        </w:rPr>
      </w:pPr>
      <w:r w:rsidRPr="00EB5BE3">
        <w:rPr>
          <w:rFonts w:ascii="Book Antiqua" w:eastAsia="Book Antiqua" w:hAnsi="Book Antiqua" w:cs="Book Antiqua"/>
        </w:rPr>
        <w:t>Upon completion of the REE assessment, height and weight were measured using stadiometer and scale, respectively (Seca Corporation; Hanover, MD) to calculate the body mass index (BMI; kg/m²). Body composition was measured via dual energy X-ray absorptiometry (DXA; Prodigy</w:t>
      </w:r>
      <w:r>
        <w:rPr>
          <w:rFonts w:ascii="Book Antiqua" w:eastAsia="Book Antiqua" w:hAnsi="Book Antiqua" w:cs="Book Antiqua"/>
        </w:rPr>
        <w:t xml:space="preserve"> Advance,</w:t>
      </w:r>
      <w:r w:rsidRPr="00EB5BE3">
        <w:rPr>
          <w:rFonts w:ascii="Book Antiqua" w:eastAsia="Book Antiqua" w:hAnsi="Book Antiqua" w:cs="Book Antiqua"/>
        </w:rPr>
        <w:t xml:space="preserve"> GE Medical Systems; Madison, WI</w:t>
      </w:r>
      <w:bookmarkStart w:id="2" w:name="_GoBack"/>
      <w:bookmarkEnd w:id="2"/>
      <w:r w:rsidRPr="00EB5BE3">
        <w:rPr>
          <w:rFonts w:ascii="Book Antiqua" w:eastAsia="Book Antiqua" w:hAnsi="Book Antiqua" w:cs="Book Antiqua"/>
        </w:rPr>
        <w:t xml:space="preserve">). The BMD of the lumbar spine (L1-L4), right and left femoral neck, and right and left forearm were measured and analyzed by the same licensed technician according to manufacturer’s guidelines and specifications. In addition, total body and regional </w:t>
      </w:r>
      <w:r>
        <w:rPr>
          <w:rFonts w:ascii="Book Antiqua" w:eastAsia="Book Antiqua" w:hAnsi="Book Antiqua" w:cs="Book Antiqua"/>
        </w:rPr>
        <w:t>LST</w:t>
      </w:r>
      <w:r w:rsidRPr="00EB5BE3">
        <w:rPr>
          <w:rFonts w:ascii="Book Antiqua" w:eastAsia="Book Antiqua" w:hAnsi="Book Antiqua" w:cs="Book Antiqua"/>
        </w:rPr>
        <w:t xml:space="preserve">, fat mass, and percent body fat were measured via DXA. The appendicular skeletal muscle mass index (arm + leg </w:t>
      </w:r>
      <w:r>
        <w:rPr>
          <w:rFonts w:ascii="Book Antiqua" w:eastAsia="Book Antiqua" w:hAnsi="Book Antiqua" w:cs="Book Antiqua"/>
        </w:rPr>
        <w:t>LST</w:t>
      </w:r>
      <w:r w:rsidRPr="00EB5BE3">
        <w:rPr>
          <w:rFonts w:ascii="Book Antiqua" w:eastAsia="Book Antiqua" w:hAnsi="Book Antiqua" w:cs="Book Antiqua"/>
        </w:rPr>
        <w:t>) adjusted by height (ASMI; kg/m²) was calculated to determine the presence of sarcopenia. In the present study, the presence of osteosarcopenic obesity was determined according the criteria defined by Il</w:t>
      </w:r>
      <w:r w:rsidRPr="009A44BA">
        <w:rPr>
          <w:rFonts w:ascii="Book Antiqua" w:eastAsia="Book Antiqua" w:hAnsi="Book Antiqua" w:cs="Book Antiqua"/>
        </w:rPr>
        <w:t>ich et al.</w:t>
      </w:r>
      <w:r>
        <w:rPr>
          <w:rFonts w:ascii="Book Antiqua" w:eastAsia="Book Antiqua" w:hAnsi="Book Antiqua" w:cs="Book Antiqua"/>
        </w:rPr>
        <w:t xml:space="preserve">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{"citationItems":[{"id":"ITEM-1","itemData":{"DOI":"10.1155/2016/7325973","abstract":"Conditions related to body composition and aging, such as osteopenic obesity, sarcopenia/sarcopenic obesity, and the newly termed osteosarcopenic obesity (triad of bone muscle and adipose tissue impairment), are beginning to gain recognition. However there is still a lack of definitive diagnostic criteria for these conditions. Little is known about the long-term impact of these combined conditions of osteoporosis, sarcopenia, and obesity in older adults. Many may go undiagnosed and progress untreated. Therefore, the objective of this research is to create diagnostic criteria for osteosarcopenic obesity in older women. The proposed diagnostic criteria are based on two types of assessments: physical, via body composition measurements, and functional, via physical performance measures. Body composition measurements such as í µí±‡-scores for bone mineral density, appendicular lean mass for sarcopenia, and percent body fat could all be obtained via dual energy X-ray absorptiometry. Physical performance tests: handgrip strength, one-leg stance, walking speed, and sit-to-stand could be assessed with minimal equipment. A score could then be obtained to measure functional decline in the older adult. For diagnosing osteosarcopenic obesity and other conditions related to bone loss and muscle loss combined with obesity, a combination of measures may more adequately improve the assessment process.","author":[{"dropping-particle":"","family":"Ilich","given":"Jasminka Z","non-dropping-particle":"","parse-names":false,"suffix":""},{"dropping-particle":"","family":"Kelly","given":"Owen J","non-dropping-particle":"","parse-names":false,"suffix":""},{"dropping-particle":"","family":"Inglis","given":"Julia E","non-dropping-particle":"","parse-names":false,"suffix":""}],"id":"ITEM-1","issued":{"date-parts":[["0"]]},"title":"Osteosarcopenic Obesity Syndrome: What Is It and How Can It Be Identified and Diagnosed?","type":"article-journal"},"uris":["http://www.mendeley.com/documents/?uuid=c1619349-53aa-3e89-9f25-c3ab65c9a28f"]}],"mendeley":{"formattedCitation":"(29)","plainTextFormattedCitation":"(29)","previouslyFormattedCitation":"(28)"},"properties":{"noteIndex":0},"schema":"https://github.com/citation-style-language/schema/raw/master/csl-citation.json"}</w:instrText>
      </w:r>
      <w:r>
        <w:rPr>
          <w:rFonts w:ascii="Book Antiqua" w:eastAsia="Book Antiqua" w:hAnsi="Book Antiqua" w:cs="Book Antiqua"/>
        </w:rPr>
        <w:fldChar w:fldCharType="separate"/>
      </w:r>
      <w:r w:rsidRPr="00FB45BE">
        <w:rPr>
          <w:rFonts w:ascii="Book Antiqua" w:eastAsia="Book Antiqua" w:hAnsi="Book Antiqua" w:cs="Book Antiqua"/>
          <w:noProof/>
        </w:rPr>
        <w:t>(29)</w:t>
      </w:r>
      <w:r>
        <w:rPr>
          <w:rFonts w:ascii="Book Antiqua" w:eastAsia="Book Antiqua" w:hAnsi="Book Antiqua" w:cs="Book Antiqua"/>
        </w:rPr>
        <w:fldChar w:fldCharType="end"/>
      </w:r>
      <w:r>
        <w:rPr>
          <w:rFonts w:ascii="Book Antiqua" w:eastAsia="Book Antiqua" w:hAnsi="Book Antiqua" w:cs="Book Antiqua"/>
        </w:rPr>
        <w:t xml:space="preserve"> </w:t>
      </w:r>
      <w:r w:rsidRPr="00EB5BE3">
        <w:rPr>
          <w:rFonts w:ascii="Book Antiqua" w:eastAsia="Book Antiqua" w:hAnsi="Book Antiqua" w:cs="Book Antiqua"/>
        </w:rPr>
        <w:t xml:space="preserve">as having  a T-score &lt; -1.0 standard deviations below the mean of young adult reference values at the lumbar, or femoral neck. Sarcopenia was defined as having an ASMI of &lt;5.45 kg/m² </w:t>
      </w:r>
      <w:r>
        <w:rPr>
          <w:rFonts w:ascii="Book Antiqua" w:eastAsia="Book Antiqua" w:hAnsi="Book Antiqua" w:cs="Book Antiqua"/>
        </w:rPr>
        <w:fldChar w:fldCharType="begin" w:fldLock="1"/>
      </w:r>
      <w:r>
        <w:rPr>
          <w:rFonts w:ascii="Book Antiqua" w:eastAsia="Book Antiqua" w:hAnsi="Book Antiqua" w:cs="Book Antiqua"/>
        </w:rPr>
        <w:instrText>ADDIN CSL_CITATION {"citationItems":[{"id":"ITEM-1","itemData":{"ISBN":"0047-6374; 0047-6374","PMID":"10220041","abstract":"BACKGROUND: Elderly men and women lose muscle mass and strength with increasing age. Decreased physical activity, hormones, malnutrition and chronic disease have been identified as factors contributing to this loss. There are few data, however, for their multivariate associations with muscle mass and strength. This study analyzes these associations in a cross-sectional sample of elderly people from the New Mexico Aging Process Study. METHODS: Data collected in 1994 for 121 male and 180 female volunteers aged 65-97 years of age enrolled in The New Mexico Aging Process Study were analyzed. Body composition was measured using dual energy X-ray absorptiometry; dietary intake from 3 day food records; usual physical activity by questionnaire; health status from annual physical examinations; and serum testosterone, estrone, sex-hormone binding globulin (SHBG), and insulin-like growth factor (IGF1) from radioimmunoassays of fasting blood samples. Statistical analyses included partial correlation and stepwise multiple regression. RESULTS: The muscle mass and strength (adjusted for knee height) decreased with increasing age in both sexes. The muscle mass was significantly associated with serum free-testosterone, physical activity, cardiovascular disease, and IGF1 in the men. In the women, the muscle mass was significantly associated with total fat mass and physical activity. Age was not associated significantly with muscle mass after controlling for these variables. Grip strength was associated with age independent of muscle mass in both sexes. Estrogen (endogenous and exogenous) was not associated with muscle mass or strength in women. CONCLUSIONS: Age-related loss of muscle mass and strength occurs in relatively healthy, well-nourished elderly men and women and has a multifactorial basis. Sex hormone status is an important factor in men but not in women. Physical activity is an important predictor of muscle mass in both sexes.","author":[{"dropping-particle":"","family":"Baumgartner","given":"R N","non-dropping-particle":"","parse-names":false,"suffix":""},{"dropping-particle":"","family":"Waters","given":"D L","non-dropping-particle":"","parse-names":false,"suffix":""},{"dropping-particle":"","family":"Gallagher","given":"D","non-dropping-particle":"","parse-names":false,"suffix":""},{"dropping-particle":"","family":"Morley","given":"J E","non-dropping-particle":"","parse-names":false,"suffix":""},{"dropping-particle":"","family":"Garry","given":"P J","non-dropping-particle":"","parse-names":false,"suffix":""}],"container-title":"Mechanisms of ageing and development","id":"ITEM-1","issue":"2","issued":{"date-parts":[["1999","3"]]},"note":"LR: 20071114; GR: AG02049/AG/NIA NIH HHS/United States; GR: AG10149/AG/NIA NIH HHS/United States; JID: 0347227; ppublish","page":"123-136","title":"Predictors of skeletal muscle mass in elderly men and women","type":"article-journal","volume":"107"},"uris":["http://www.mendeley.com/documents/?uuid=0654991d-1f3f-418b-8c03-5be4cefaac1d"]}],"mendeley":{"formattedCitation":"(5)","plainTextFormattedCitation":"(5)","previouslyFormattedCitation":"(5)"},"properties":{"noteIndex":0},"schema":"https://github.com/citation-style-language/schema/raw/master/csl-citation.json"}</w:instrText>
      </w:r>
      <w:r>
        <w:rPr>
          <w:rFonts w:ascii="Book Antiqua" w:eastAsia="Book Antiqua" w:hAnsi="Book Antiqua" w:cs="Book Antiqua"/>
        </w:rPr>
        <w:fldChar w:fldCharType="separate"/>
      </w:r>
      <w:r w:rsidRPr="00D54D3C">
        <w:rPr>
          <w:rFonts w:ascii="Book Antiqua" w:eastAsia="Book Antiqua" w:hAnsi="Book Antiqua" w:cs="Book Antiqua"/>
          <w:noProof/>
        </w:rPr>
        <w:t>(5)</w:t>
      </w:r>
      <w:r>
        <w:rPr>
          <w:rFonts w:ascii="Book Antiqua" w:eastAsia="Book Antiqua" w:hAnsi="Book Antiqua" w:cs="Book Antiqua"/>
        </w:rPr>
        <w:fldChar w:fldCharType="end"/>
      </w:r>
      <w:r w:rsidRPr="00EB5BE3">
        <w:rPr>
          <w:rFonts w:ascii="Book Antiqua" w:eastAsia="Book Antiqua" w:hAnsi="Book Antiqua" w:cs="Book Antiqua"/>
        </w:rPr>
        <w:t>.</w:t>
      </w:r>
      <w:r>
        <w:rPr>
          <w:rFonts w:ascii="Book Antiqua" w:eastAsia="Book Antiqua" w:hAnsi="Book Antiqua" w:cs="Book Antiqua"/>
        </w:rPr>
        <w:t xml:space="preserve"> </w:t>
      </w:r>
      <w:r w:rsidRPr="00EB5BE3">
        <w:rPr>
          <w:rFonts w:ascii="Book Antiqua" w:eastAsia="Book Antiqua" w:hAnsi="Book Antiqua" w:cs="Book Antiqua"/>
        </w:rPr>
        <w:t>Obesity was defined as having a DXA derived fat mass &gt;32%.</w:t>
      </w:r>
    </w:p>
    <w:p w:rsidR="00330561" w:rsidRDefault="00330561" w:rsidP="00380BCF">
      <w:pPr>
        <w:jc w:val="both"/>
        <w:rPr>
          <w:rFonts w:ascii="Book Antiqua" w:hAnsi="Book Antiqua" w:cs="Arial"/>
          <w:color w:val="000000"/>
          <w:shd w:val="clear" w:color="auto" w:fill="FFFFFF"/>
        </w:rPr>
      </w:pPr>
    </w:p>
    <w:p w:rsidR="00B430E2" w:rsidRPr="00CE5ACA" w:rsidRDefault="00B430E2" w:rsidP="00CE5ACA">
      <w:pPr>
        <w:jc w:val="both"/>
        <w:rPr>
          <w:rFonts w:ascii="Book Antiqua" w:hAnsi="Book Antiqua"/>
          <w:i/>
        </w:rPr>
      </w:pPr>
      <w:r w:rsidRPr="00CE5ACA">
        <w:rPr>
          <w:rFonts w:ascii="Book Antiqua" w:hAnsi="Book Antiqua"/>
          <w:i/>
        </w:rPr>
        <w:t>Statistical Analysis</w:t>
      </w:r>
    </w:p>
    <w:p w:rsidR="007C643B" w:rsidRDefault="007C643B" w:rsidP="007C643B">
      <w:pPr>
        <w:tabs>
          <w:tab w:val="left" w:pos="3519"/>
        </w:tabs>
        <w:jc w:val="both"/>
        <w:rPr>
          <w:rFonts w:ascii="Book Antiqua" w:eastAsia="Book Antiqua" w:hAnsi="Book Antiqua" w:cs="Book Antiqua"/>
        </w:rPr>
      </w:pPr>
      <w:r w:rsidRPr="00EB5BE3">
        <w:rPr>
          <w:rFonts w:ascii="Book Antiqua" w:eastAsia="Book Antiqua" w:hAnsi="Book Antiqua" w:cs="Book Antiqua"/>
        </w:rPr>
        <w:t>Descriptive statistics including mean and standard deviation wer</w:t>
      </w:r>
      <w:r>
        <w:rPr>
          <w:rFonts w:ascii="Book Antiqua" w:eastAsia="Book Antiqua" w:hAnsi="Book Antiqua" w:cs="Book Antiqua"/>
        </w:rPr>
        <w:t xml:space="preserve">e determined for all variables. Dependent </w:t>
      </w:r>
      <w:r w:rsidRPr="00EB5BE3">
        <w:rPr>
          <w:rFonts w:ascii="Book Antiqua" w:eastAsia="Book Antiqua" w:hAnsi="Book Antiqua" w:cs="Book Antiqua"/>
        </w:rPr>
        <w:t>variables were analyzed via a one-way analysis of variance (ANOVA).</w:t>
      </w:r>
      <w:r>
        <w:rPr>
          <w:rFonts w:ascii="Book Antiqua" w:eastAsia="Book Antiqua" w:hAnsi="Book Antiqua" w:cs="Book Antiqua"/>
        </w:rPr>
        <w:t xml:space="preserve"> When </w:t>
      </w:r>
      <w:r w:rsidRPr="00B07477">
        <w:rPr>
          <w:rFonts w:ascii="Book Antiqua" w:eastAsia="Book Antiqua" w:hAnsi="Book Antiqua" w:cs="Book Antiqua"/>
        </w:rPr>
        <w:t>Levene's test for equality of variances</w:t>
      </w:r>
      <w:r>
        <w:rPr>
          <w:rFonts w:ascii="Book Antiqua" w:eastAsia="Book Antiqua" w:hAnsi="Book Antiqua" w:cs="Book Antiqua"/>
        </w:rPr>
        <w:t xml:space="preserve"> was violated, the </w:t>
      </w:r>
      <w:r w:rsidRPr="00B07477">
        <w:rPr>
          <w:rFonts w:ascii="Book Antiqua" w:eastAsia="Book Antiqua" w:hAnsi="Book Antiqua" w:cs="Book Antiqua"/>
        </w:rPr>
        <w:t>Welch ANOV</w:t>
      </w:r>
      <w:r>
        <w:rPr>
          <w:rFonts w:ascii="Book Antiqua" w:eastAsia="Book Antiqua" w:hAnsi="Book Antiqua" w:cs="Book Antiqua"/>
        </w:rPr>
        <w:t xml:space="preserve">A was used to compare </w:t>
      </w:r>
      <w:r>
        <w:rPr>
          <w:rFonts w:ascii="Book Antiqua" w:eastAsia="Book Antiqua" w:hAnsi="Book Antiqua" w:cs="Book Antiqua"/>
        </w:rPr>
        <w:lastRenderedPageBreak/>
        <w:t>group differences.</w:t>
      </w:r>
      <w:r w:rsidRPr="00EB5BE3">
        <w:rPr>
          <w:rFonts w:ascii="Book Antiqua" w:eastAsia="Book Antiqua" w:hAnsi="Book Antiqua" w:cs="Book Antiqua"/>
        </w:rPr>
        <w:t xml:space="preserve"> All significance was </w:t>
      </w:r>
      <w:r w:rsidRPr="007C643B">
        <w:rPr>
          <w:rFonts w:ascii="Book Antiqua" w:eastAsia="Book Antiqua" w:hAnsi="Book Antiqua" w:cs="Book Antiqua"/>
        </w:rPr>
        <w:t>accepted at p &lt; 0.05. Statistical</w:t>
      </w:r>
      <w:r w:rsidRPr="00EB5BE3">
        <w:rPr>
          <w:rFonts w:ascii="Book Antiqua" w:eastAsia="Book Antiqua" w:hAnsi="Book Antiqua" w:cs="Book Antiqua"/>
        </w:rPr>
        <w:t xml:space="preserve"> Analysis was done using the </w:t>
      </w:r>
      <w:r>
        <w:rPr>
          <w:rFonts w:ascii="Book Antiqua" w:eastAsia="Book Antiqua" w:hAnsi="Book Antiqua" w:cs="Book Antiqua"/>
        </w:rPr>
        <w:t xml:space="preserve">SPSS version </w:t>
      </w:r>
      <w:r w:rsidRPr="00EB5BE3">
        <w:rPr>
          <w:rFonts w:ascii="Book Antiqua" w:eastAsia="Book Antiqua" w:hAnsi="Book Antiqua" w:cs="Book Antiqua"/>
        </w:rPr>
        <w:t>24 statistical software (IBM®, Armonk, NY).</w:t>
      </w:r>
    </w:p>
    <w:p w:rsidR="00040EB5" w:rsidRPr="00380BCF" w:rsidRDefault="00040EB5" w:rsidP="00380BCF">
      <w:pPr>
        <w:jc w:val="both"/>
        <w:rPr>
          <w:rFonts w:ascii="Book Antiqua" w:hAnsi="Book Antiqua"/>
        </w:rPr>
      </w:pPr>
    </w:p>
    <w:p w:rsidR="007F5319" w:rsidRPr="00CE5ACA" w:rsidRDefault="00BC5097" w:rsidP="00CE5ACA">
      <w:pPr>
        <w:jc w:val="both"/>
        <w:rPr>
          <w:rFonts w:ascii="Book Antiqua" w:hAnsi="Book Antiqua"/>
          <w:b/>
        </w:rPr>
      </w:pPr>
      <w:r w:rsidRPr="00CE5ACA">
        <w:rPr>
          <w:rFonts w:ascii="Book Antiqua" w:hAnsi="Book Antiqua"/>
          <w:b/>
        </w:rPr>
        <w:t>RESULTS</w:t>
      </w:r>
    </w:p>
    <w:p w:rsidR="00325BAB" w:rsidRPr="00380BCF" w:rsidRDefault="00325BAB" w:rsidP="00380BCF">
      <w:pPr>
        <w:jc w:val="both"/>
        <w:rPr>
          <w:rFonts w:ascii="Book Antiqua" w:hAnsi="Book Antiqua"/>
        </w:rPr>
      </w:pPr>
    </w:p>
    <w:p w:rsidR="0053136D" w:rsidRPr="003B4F77" w:rsidRDefault="0053136D" w:rsidP="0053136D">
      <w:pPr>
        <w:tabs>
          <w:tab w:val="left" w:pos="3519"/>
        </w:tabs>
        <w:jc w:val="both"/>
        <w:rPr>
          <w:rFonts w:ascii="Book Antiqua" w:eastAsia="Book Antiqua" w:hAnsi="Book Antiqua" w:cs="Book Antiqua"/>
        </w:rPr>
      </w:pPr>
      <w:r w:rsidRPr="003B4F77">
        <w:rPr>
          <w:rFonts w:ascii="Book Antiqua" w:eastAsia="Book Antiqua" w:hAnsi="Book Antiqua" w:cs="Book Antiqua"/>
        </w:rPr>
        <w:t>A comparison of participant descriptive data between BCS and controls as well as the cancer history of BCS are displayed in Table 1. There were no significant differences between BCS and controls in all variables except for menopausal age. The BCS entered menopause at a significantly younger age than the controls (p = 0.042). Thirty-three of the participants were Caucasian and two were Asian.</w:t>
      </w:r>
    </w:p>
    <w:p w:rsidR="0053136D" w:rsidRPr="003B4F77" w:rsidRDefault="0053136D" w:rsidP="0053136D">
      <w:pPr>
        <w:tabs>
          <w:tab w:val="left" w:pos="3519"/>
        </w:tabs>
        <w:jc w:val="both"/>
        <w:rPr>
          <w:rFonts w:ascii="Book Antiqua" w:eastAsia="Book Antiqua" w:hAnsi="Book Antiqua" w:cs="Book Antiqua"/>
        </w:rPr>
      </w:pPr>
    </w:p>
    <w:tbl>
      <w:tblPr>
        <w:tblStyle w:val="TableGrid"/>
        <w:tblW w:w="5000" w:type="pct"/>
        <w:jc w:val="center"/>
        <w:tblLook w:val="04A0" w:firstRow="1" w:lastRow="0" w:firstColumn="1" w:lastColumn="0" w:noHBand="0" w:noVBand="1"/>
      </w:tblPr>
      <w:tblGrid>
        <w:gridCol w:w="4868"/>
        <w:gridCol w:w="2605"/>
        <w:gridCol w:w="2607"/>
      </w:tblGrid>
      <w:tr w:rsidR="0053136D" w:rsidRPr="003B4F77" w:rsidTr="003B4F77">
        <w:trPr>
          <w:trHeight w:val="360"/>
          <w:jc w:val="center"/>
        </w:trPr>
        <w:tc>
          <w:tcPr>
            <w:tcW w:w="5000" w:type="pct"/>
            <w:gridSpan w:val="3"/>
            <w:tcBorders>
              <w:top w:val="nil"/>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b/>
                <w:sz w:val="20"/>
              </w:rPr>
              <w:t>Table 1.</w:t>
            </w:r>
            <w:r w:rsidRPr="003B4F77">
              <w:rPr>
                <w:rFonts w:ascii="Book Antiqua" w:hAnsi="Book Antiqua"/>
                <w:sz w:val="20"/>
              </w:rPr>
              <w:t xml:space="preserve"> Descriptive characteristics of participants. </w:t>
            </w:r>
          </w:p>
        </w:tc>
      </w:tr>
      <w:tr w:rsidR="0053136D" w:rsidRPr="003B4F77" w:rsidTr="003B4F77">
        <w:trPr>
          <w:jc w:val="center"/>
        </w:trPr>
        <w:tc>
          <w:tcPr>
            <w:tcW w:w="2415"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rPr>
            </w:pPr>
          </w:p>
        </w:tc>
        <w:tc>
          <w:tcPr>
            <w:tcW w:w="1292"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BCS (n=17)</w:t>
            </w:r>
          </w:p>
        </w:tc>
        <w:tc>
          <w:tcPr>
            <w:tcW w:w="1293"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Controls (n=18)</w:t>
            </w:r>
          </w:p>
        </w:tc>
      </w:tr>
      <w:tr w:rsidR="0053136D" w:rsidRPr="003B4F77" w:rsidTr="003B4F77">
        <w:trPr>
          <w:jc w:val="center"/>
        </w:trPr>
        <w:tc>
          <w:tcPr>
            <w:tcW w:w="2415" w:type="pct"/>
            <w:tcBorders>
              <w:top w:val="single" w:sz="4" w:space="0" w:color="auto"/>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Age (years)</w:t>
            </w:r>
          </w:p>
        </w:tc>
        <w:tc>
          <w:tcPr>
            <w:tcW w:w="1292" w:type="pct"/>
            <w:tcBorders>
              <w:top w:val="single" w:sz="4" w:space="0" w:color="auto"/>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59±9</w:t>
            </w:r>
          </w:p>
        </w:tc>
        <w:tc>
          <w:tcPr>
            <w:tcW w:w="1293" w:type="pct"/>
            <w:tcBorders>
              <w:top w:val="single" w:sz="4" w:space="0" w:color="auto"/>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59±6</w:t>
            </w:r>
          </w:p>
        </w:tc>
      </w:tr>
      <w:tr w:rsidR="0053136D" w:rsidRPr="003B4F77" w:rsidTr="003B4F77">
        <w:trPr>
          <w:jc w:val="center"/>
        </w:trPr>
        <w:tc>
          <w:tcPr>
            <w:tcW w:w="2415"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Menopause age (years)*</w:t>
            </w:r>
          </w:p>
        </w:tc>
        <w:tc>
          <w:tcPr>
            <w:tcW w:w="1292"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47</w:t>
            </w:r>
            <w:r w:rsidRPr="003B4F77">
              <w:rPr>
                <w:rFonts w:ascii="Book Antiqua" w:hAnsi="Book Antiqua"/>
                <w:color w:val="222222"/>
                <w:sz w:val="20"/>
                <w:shd w:val="clear" w:color="auto" w:fill="FFFFFF"/>
              </w:rPr>
              <w:t>±4</w:t>
            </w:r>
          </w:p>
        </w:tc>
        <w:tc>
          <w:tcPr>
            <w:tcW w:w="1293"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50</w:t>
            </w:r>
            <w:r w:rsidRPr="003B4F77">
              <w:rPr>
                <w:rFonts w:ascii="Book Antiqua" w:hAnsi="Book Antiqua"/>
                <w:color w:val="222222"/>
                <w:sz w:val="20"/>
                <w:shd w:val="clear" w:color="auto" w:fill="FFFFFF"/>
              </w:rPr>
              <w:t>±4</w:t>
            </w:r>
          </w:p>
        </w:tc>
      </w:tr>
      <w:tr w:rsidR="0053136D" w:rsidRPr="003B4F77" w:rsidTr="003B4F77">
        <w:trPr>
          <w:jc w:val="center"/>
        </w:trPr>
        <w:tc>
          <w:tcPr>
            <w:tcW w:w="2415"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BMI (kg/m</w:t>
            </w:r>
            <w:r w:rsidRPr="003B4F77">
              <w:rPr>
                <w:rFonts w:ascii="Book Antiqua" w:hAnsi="Book Antiqua"/>
                <w:sz w:val="20"/>
                <w:vertAlign w:val="superscript"/>
              </w:rPr>
              <w:t>2</w:t>
            </w:r>
            <w:r w:rsidRPr="003B4F77">
              <w:rPr>
                <w:rFonts w:ascii="Book Antiqua" w:hAnsi="Book Antiqua"/>
                <w:sz w:val="20"/>
              </w:rPr>
              <w:t>)</w:t>
            </w:r>
          </w:p>
        </w:tc>
        <w:tc>
          <w:tcPr>
            <w:tcW w:w="1292"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26.4</w:t>
            </w:r>
            <w:r w:rsidRPr="003B4F77">
              <w:rPr>
                <w:rFonts w:ascii="Book Antiqua" w:hAnsi="Book Antiqua"/>
                <w:color w:val="222222"/>
                <w:sz w:val="20"/>
                <w:shd w:val="clear" w:color="auto" w:fill="FFFFFF"/>
              </w:rPr>
              <w:t>±5.1</w:t>
            </w:r>
          </w:p>
        </w:tc>
        <w:tc>
          <w:tcPr>
            <w:tcW w:w="1293"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25.3</w:t>
            </w:r>
            <w:r w:rsidRPr="003B4F77">
              <w:rPr>
                <w:rFonts w:ascii="Book Antiqua" w:hAnsi="Book Antiqua"/>
                <w:color w:val="222222"/>
                <w:sz w:val="20"/>
                <w:shd w:val="clear" w:color="auto" w:fill="FFFFFF"/>
              </w:rPr>
              <w:t>±3.8</w:t>
            </w:r>
          </w:p>
        </w:tc>
      </w:tr>
      <w:tr w:rsidR="0053136D" w:rsidRPr="003B4F77" w:rsidTr="003B4F77">
        <w:trPr>
          <w:jc w:val="center"/>
        </w:trPr>
        <w:tc>
          <w:tcPr>
            <w:tcW w:w="2415"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Time since diagnosis (months) </w:t>
            </w:r>
          </w:p>
        </w:tc>
        <w:tc>
          <w:tcPr>
            <w:tcW w:w="1292"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76.4±17.8</w:t>
            </w:r>
          </w:p>
        </w:tc>
        <w:tc>
          <w:tcPr>
            <w:tcW w:w="1293"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w:t>
            </w:r>
          </w:p>
        </w:tc>
      </w:tr>
      <w:tr w:rsidR="0053136D" w:rsidRPr="003B4F77" w:rsidTr="003B4F77">
        <w:trPr>
          <w:jc w:val="center"/>
        </w:trPr>
        <w:tc>
          <w:tcPr>
            <w:tcW w:w="2415"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Time since primary treatment completed (months)</w:t>
            </w:r>
          </w:p>
        </w:tc>
        <w:tc>
          <w:tcPr>
            <w:tcW w:w="1292"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75.7±17.8</w:t>
            </w:r>
          </w:p>
        </w:tc>
        <w:tc>
          <w:tcPr>
            <w:tcW w:w="1293"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w:t>
            </w:r>
          </w:p>
        </w:tc>
      </w:tr>
      <w:tr w:rsidR="0053136D" w:rsidRPr="003B4F77" w:rsidTr="003B4F77">
        <w:trPr>
          <w:jc w:val="center"/>
        </w:trPr>
        <w:tc>
          <w:tcPr>
            <w:tcW w:w="2415"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Time since completion of hormone therapy (months) </w:t>
            </w:r>
          </w:p>
        </w:tc>
        <w:tc>
          <w:tcPr>
            <w:tcW w:w="1292"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37.8±22.9</w:t>
            </w:r>
          </w:p>
        </w:tc>
        <w:tc>
          <w:tcPr>
            <w:tcW w:w="1293"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w:t>
            </w:r>
          </w:p>
        </w:tc>
      </w:tr>
      <w:tr w:rsidR="0053136D" w:rsidRPr="003B4F77" w:rsidTr="003B4F77">
        <w:trPr>
          <w:jc w:val="center"/>
        </w:trPr>
        <w:tc>
          <w:tcPr>
            <w:tcW w:w="2415" w:type="pct"/>
            <w:tcBorders>
              <w:top w:val="nil"/>
              <w:left w:val="nil"/>
              <w:bottom w:val="nil"/>
              <w:right w:val="nil"/>
            </w:tcBorders>
          </w:tcPr>
          <w:p w:rsidR="0053136D" w:rsidRPr="003B4F77" w:rsidRDefault="0053136D" w:rsidP="003B4F77">
            <w:pPr>
              <w:rPr>
                <w:rFonts w:ascii="Book Antiqua" w:hAnsi="Book Antiqua"/>
                <w:sz w:val="20"/>
                <w:vertAlign w:val="superscript"/>
              </w:rPr>
            </w:pPr>
            <w:r w:rsidRPr="003B4F77">
              <w:rPr>
                <w:rFonts w:ascii="Book Antiqua" w:hAnsi="Book Antiqua"/>
                <w:sz w:val="20"/>
              </w:rPr>
              <w:t>Stage 0 (%</w:t>
            </w:r>
            <w:r w:rsidRPr="003B4F77">
              <w:rPr>
                <w:rFonts w:ascii="Book Antiqua" w:hAnsi="Book Antiqua"/>
                <w:b/>
                <w:sz w:val="20"/>
              </w:rPr>
              <w:t>)</w:t>
            </w:r>
          </w:p>
        </w:tc>
        <w:tc>
          <w:tcPr>
            <w:tcW w:w="1292"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6.3%</w:t>
            </w:r>
          </w:p>
        </w:tc>
        <w:tc>
          <w:tcPr>
            <w:tcW w:w="1293"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w:t>
            </w:r>
          </w:p>
        </w:tc>
      </w:tr>
      <w:tr w:rsidR="0053136D" w:rsidRPr="003B4F77" w:rsidTr="003B4F77">
        <w:trPr>
          <w:jc w:val="center"/>
        </w:trPr>
        <w:tc>
          <w:tcPr>
            <w:tcW w:w="2415"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Stage I (%)</w:t>
            </w:r>
          </w:p>
        </w:tc>
        <w:tc>
          <w:tcPr>
            <w:tcW w:w="1292"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62.5%</w:t>
            </w:r>
          </w:p>
        </w:tc>
        <w:tc>
          <w:tcPr>
            <w:tcW w:w="1293"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w:t>
            </w:r>
          </w:p>
        </w:tc>
      </w:tr>
      <w:tr w:rsidR="0053136D" w:rsidRPr="003B4F77" w:rsidTr="003B4F77">
        <w:trPr>
          <w:jc w:val="center"/>
        </w:trPr>
        <w:tc>
          <w:tcPr>
            <w:tcW w:w="2415"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Stage II (%)</w:t>
            </w:r>
          </w:p>
        </w:tc>
        <w:tc>
          <w:tcPr>
            <w:tcW w:w="1292"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12.5%</w:t>
            </w:r>
          </w:p>
        </w:tc>
        <w:tc>
          <w:tcPr>
            <w:tcW w:w="1293"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w:t>
            </w:r>
          </w:p>
        </w:tc>
      </w:tr>
      <w:tr w:rsidR="0053136D" w:rsidRPr="003B4F77" w:rsidTr="003B4F77">
        <w:trPr>
          <w:jc w:val="center"/>
        </w:trPr>
        <w:tc>
          <w:tcPr>
            <w:tcW w:w="2415" w:type="pct"/>
            <w:tcBorders>
              <w:top w:val="nil"/>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Stage III (%)</w:t>
            </w:r>
          </w:p>
        </w:tc>
        <w:tc>
          <w:tcPr>
            <w:tcW w:w="1292" w:type="pct"/>
            <w:tcBorders>
              <w:top w:val="nil"/>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18.8%</w:t>
            </w:r>
          </w:p>
        </w:tc>
        <w:tc>
          <w:tcPr>
            <w:tcW w:w="1293" w:type="pct"/>
            <w:tcBorders>
              <w:top w:val="nil"/>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w:t>
            </w:r>
          </w:p>
        </w:tc>
      </w:tr>
      <w:tr w:rsidR="0053136D" w:rsidRPr="003B4F77" w:rsidTr="003B4F77">
        <w:trPr>
          <w:jc w:val="center"/>
        </w:trPr>
        <w:tc>
          <w:tcPr>
            <w:tcW w:w="5000" w:type="pct"/>
            <w:gridSpan w:val="3"/>
            <w:tcBorders>
              <w:top w:val="single" w:sz="4" w:space="0" w:color="auto"/>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bCs/>
                <w:sz w:val="20"/>
              </w:rPr>
              <w:t xml:space="preserve">Values are mean </w:t>
            </w:r>
            <w:r w:rsidRPr="003B4F77">
              <w:rPr>
                <w:rFonts w:ascii="Book Antiqua" w:eastAsia="MS PGothic" w:hAnsi="Book Antiqua"/>
                <w:sz w:val="20"/>
              </w:rPr>
              <w:t xml:space="preserve">± </w:t>
            </w:r>
            <w:r w:rsidRPr="003B4F77">
              <w:rPr>
                <w:rFonts w:ascii="Book Antiqua" w:hAnsi="Book Antiqua"/>
                <w:bCs/>
                <w:sz w:val="20"/>
              </w:rPr>
              <w:t xml:space="preserve">SD; </w:t>
            </w:r>
            <w:r w:rsidRPr="003B4F77">
              <w:rPr>
                <w:rFonts w:ascii="Book Antiqua" w:hAnsi="Book Antiqua"/>
                <w:bCs/>
                <w:sz w:val="20"/>
                <w:szCs w:val="20"/>
              </w:rPr>
              <w:t>BCS = breast cancer survivors;</w:t>
            </w:r>
            <w:r w:rsidRPr="003B4F77">
              <w:rPr>
                <w:rFonts w:ascii="Book Antiqua" w:hAnsi="Book Antiqua"/>
                <w:bCs/>
                <w:sz w:val="20"/>
              </w:rPr>
              <w:t xml:space="preserve"> BMI= body mass index; * </w:t>
            </w:r>
            <w:r w:rsidRPr="003B4F77">
              <w:rPr>
                <w:rFonts w:ascii="Book Antiqua" w:hAnsi="Book Antiqua"/>
                <w:bCs/>
                <w:i/>
                <w:iCs/>
                <w:sz w:val="20"/>
              </w:rPr>
              <w:t>p&lt;0</w:t>
            </w:r>
            <w:r w:rsidRPr="003B4F77">
              <w:rPr>
                <w:rFonts w:ascii="Book Antiqua" w:hAnsi="Book Antiqua"/>
                <w:bCs/>
                <w:sz w:val="20"/>
              </w:rPr>
              <w:t>.05 indicates statistically significant difference between BCS and controls.</w:t>
            </w:r>
          </w:p>
        </w:tc>
      </w:tr>
    </w:tbl>
    <w:p w:rsidR="0053136D" w:rsidRPr="003B4F77" w:rsidRDefault="0053136D" w:rsidP="0053136D">
      <w:pPr>
        <w:tabs>
          <w:tab w:val="left" w:pos="3519"/>
        </w:tabs>
        <w:jc w:val="both"/>
        <w:rPr>
          <w:rFonts w:ascii="Book Antiqua" w:eastAsia="Book Antiqua" w:hAnsi="Book Antiqua" w:cs="Book Antiqua"/>
        </w:rPr>
      </w:pPr>
    </w:p>
    <w:p w:rsidR="0053136D" w:rsidRPr="003B4F77" w:rsidRDefault="0053136D" w:rsidP="0053136D">
      <w:pPr>
        <w:tabs>
          <w:tab w:val="left" w:pos="3519"/>
        </w:tabs>
        <w:jc w:val="both"/>
        <w:rPr>
          <w:rFonts w:ascii="Book Antiqua" w:eastAsia="Book Antiqua" w:hAnsi="Book Antiqua" w:cs="Book Antiqua"/>
        </w:rPr>
      </w:pPr>
      <w:r w:rsidRPr="003B4F77">
        <w:rPr>
          <w:rFonts w:ascii="Book Antiqua" w:eastAsia="Book Antiqua" w:hAnsi="Book Antiqua" w:cs="Book Antiqua"/>
        </w:rPr>
        <w:t>Table 2 presents the measures of body composition. Lean soft tissue, fat mass, ASMI and total body fat did not differ between the groups. Similarly, there were no significant differences in any BMD measures. Table 3 presents a comparison of the criteria for osteosarcopenic obesity. Based on these criteria, only one participant, a BCS was classified as having osteosarcopenic obesity.</w:t>
      </w:r>
    </w:p>
    <w:p w:rsidR="0053136D" w:rsidRPr="003B4F77" w:rsidRDefault="0053136D" w:rsidP="0053136D">
      <w:pPr>
        <w:tabs>
          <w:tab w:val="left" w:pos="3519"/>
        </w:tabs>
        <w:jc w:val="both"/>
        <w:rPr>
          <w:rFonts w:ascii="Book Antiqua" w:eastAsia="Book Antiqua" w:hAnsi="Book Antiqua" w:cs="Book Antiqua"/>
        </w:rPr>
      </w:pPr>
    </w:p>
    <w:tbl>
      <w:tblPr>
        <w:tblStyle w:val="TableGrid"/>
        <w:tblW w:w="5000" w:type="pct"/>
        <w:jc w:val="center"/>
        <w:tblLook w:val="04A0" w:firstRow="1" w:lastRow="0" w:firstColumn="1" w:lastColumn="0" w:noHBand="0" w:noVBand="1"/>
      </w:tblPr>
      <w:tblGrid>
        <w:gridCol w:w="3165"/>
        <w:gridCol w:w="2087"/>
        <w:gridCol w:w="2308"/>
        <w:gridCol w:w="2520"/>
      </w:tblGrid>
      <w:tr w:rsidR="0053136D" w:rsidRPr="003B4F77" w:rsidTr="003B4F77">
        <w:trPr>
          <w:trHeight w:val="269"/>
          <w:jc w:val="center"/>
        </w:trPr>
        <w:tc>
          <w:tcPr>
            <w:tcW w:w="5000" w:type="pct"/>
            <w:gridSpan w:val="4"/>
            <w:tcBorders>
              <w:top w:val="nil"/>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b/>
                <w:sz w:val="20"/>
                <w:szCs w:val="20"/>
              </w:rPr>
              <w:t>Table 2.</w:t>
            </w:r>
            <w:r w:rsidRPr="003B4F77">
              <w:rPr>
                <w:rFonts w:ascii="Book Antiqua" w:hAnsi="Book Antiqua"/>
                <w:sz w:val="20"/>
                <w:szCs w:val="20"/>
              </w:rPr>
              <w:t xml:space="preserve"> Comparison of body composition measures between BCS and controls.</w:t>
            </w:r>
          </w:p>
        </w:tc>
      </w:tr>
      <w:tr w:rsidR="0053136D" w:rsidRPr="003B4F77" w:rsidTr="003B4F77">
        <w:trPr>
          <w:trHeight w:val="269"/>
          <w:jc w:val="center"/>
        </w:trPr>
        <w:tc>
          <w:tcPr>
            <w:tcW w:w="1570"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szCs w:val="20"/>
              </w:rPr>
            </w:pPr>
          </w:p>
        </w:tc>
        <w:tc>
          <w:tcPr>
            <w:tcW w:w="1035"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BCS (n=17)</w:t>
            </w:r>
          </w:p>
        </w:tc>
        <w:tc>
          <w:tcPr>
            <w:tcW w:w="1145"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Controls (n=18)</w:t>
            </w:r>
          </w:p>
        </w:tc>
        <w:tc>
          <w:tcPr>
            <w:tcW w:w="1250"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P-value</w:t>
            </w:r>
          </w:p>
        </w:tc>
      </w:tr>
      <w:tr w:rsidR="0053136D" w:rsidRPr="003B4F77" w:rsidTr="003B4F77">
        <w:trPr>
          <w:trHeight w:val="264"/>
          <w:jc w:val="center"/>
        </w:trPr>
        <w:tc>
          <w:tcPr>
            <w:tcW w:w="1570" w:type="pct"/>
            <w:tcBorders>
              <w:top w:val="single" w:sz="4" w:space="0" w:color="auto"/>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LST (kg)</w:t>
            </w:r>
          </w:p>
        </w:tc>
        <w:tc>
          <w:tcPr>
            <w:tcW w:w="1035" w:type="pct"/>
            <w:tcBorders>
              <w:top w:val="single" w:sz="4" w:space="0" w:color="auto"/>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38.1</w:t>
            </w:r>
            <w:r w:rsidRPr="003B4F77">
              <w:rPr>
                <w:rFonts w:ascii="Book Antiqua" w:hAnsi="Book Antiqua"/>
                <w:color w:val="222222"/>
                <w:sz w:val="20"/>
                <w:szCs w:val="20"/>
                <w:shd w:val="clear" w:color="auto" w:fill="FFFFFF"/>
              </w:rPr>
              <w:t>±4.5</w:t>
            </w:r>
          </w:p>
        </w:tc>
        <w:tc>
          <w:tcPr>
            <w:tcW w:w="1145" w:type="pct"/>
            <w:tcBorders>
              <w:top w:val="single" w:sz="4" w:space="0" w:color="auto"/>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38.4</w:t>
            </w:r>
            <w:r w:rsidRPr="003B4F77">
              <w:rPr>
                <w:rFonts w:ascii="Book Antiqua" w:hAnsi="Book Antiqua"/>
                <w:color w:val="222222"/>
                <w:sz w:val="20"/>
                <w:szCs w:val="20"/>
                <w:shd w:val="clear" w:color="auto" w:fill="FFFFFF"/>
              </w:rPr>
              <w:t>±3.9</w:t>
            </w:r>
          </w:p>
        </w:tc>
        <w:tc>
          <w:tcPr>
            <w:tcW w:w="1250" w:type="pct"/>
            <w:tcBorders>
              <w:top w:val="single" w:sz="4" w:space="0" w:color="auto"/>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0.817</w:t>
            </w:r>
          </w:p>
        </w:tc>
      </w:tr>
      <w:tr w:rsidR="0053136D" w:rsidRPr="003B4F77" w:rsidTr="003B4F77">
        <w:trPr>
          <w:trHeight w:val="264"/>
          <w:jc w:val="center"/>
        </w:trPr>
        <w:tc>
          <w:tcPr>
            <w:tcW w:w="157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Fat Mass (kg)</w:t>
            </w:r>
          </w:p>
        </w:tc>
        <w:tc>
          <w:tcPr>
            <w:tcW w:w="103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28.3</w:t>
            </w:r>
            <w:r w:rsidRPr="003B4F77">
              <w:rPr>
                <w:rFonts w:ascii="Book Antiqua" w:hAnsi="Book Antiqua"/>
                <w:color w:val="222222"/>
                <w:sz w:val="20"/>
                <w:szCs w:val="20"/>
                <w:shd w:val="clear" w:color="auto" w:fill="FFFFFF"/>
              </w:rPr>
              <w:t>±9.4</w:t>
            </w:r>
          </w:p>
        </w:tc>
        <w:tc>
          <w:tcPr>
            <w:tcW w:w="114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26.6</w:t>
            </w:r>
            <w:r w:rsidRPr="003B4F77">
              <w:rPr>
                <w:rFonts w:ascii="Book Antiqua" w:hAnsi="Book Antiqua"/>
                <w:color w:val="222222"/>
                <w:sz w:val="20"/>
                <w:szCs w:val="20"/>
                <w:shd w:val="clear" w:color="auto" w:fill="FFFFFF"/>
              </w:rPr>
              <w:t>±7.6</w:t>
            </w:r>
          </w:p>
        </w:tc>
        <w:tc>
          <w:tcPr>
            <w:tcW w:w="125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0.568</w:t>
            </w:r>
          </w:p>
        </w:tc>
      </w:tr>
      <w:tr w:rsidR="0053136D" w:rsidRPr="003B4F77" w:rsidTr="003B4F77">
        <w:trPr>
          <w:trHeight w:val="264"/>
          <w:jc w:val="center"/>
        </w:trPr>
        <w:tc>
          <w:tcPr>
            <w:tcW w:w="157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ASMI (kg/m</w:t>
            </w:r>
            <w:r w:rsidRPr="003B4F77">
              <w:rPr>
                <w:rFonts w:ascii="Book Antiqua" w:hAnsi="Book Antiqua"/>
                <w:sz w:val="20"/>
                <w:szCs w:val="20"/>
                <w:vertAlign w:val="superscript"/>
              </w:rPr>
              <w:t>2</w:t>
            </w:r>
            <w:r w:rsidRPr="003B4F77">
              <w:rPr>
                <w:rFonts w:ascii="Book Antiqua" w:hAnsi="Book Antiqua"/>
                <w:sz w:val="20"/>
                <w:szCs w:val="20"/>
              </w:rPr>
              <w:t>)</w:t>
            </w:r>
          </w:p>
        </w:tc>
        <w:tc>
          <w:tcPr>
            <w:tcW w:w="103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6.22</w:t>
            </w:r>
            <w:r w:rsidRPr="003B4F77">
              <w:rPr>
                <w:rFonts w:ascii="Book Antiqua" w:hAnsi="Book Antiqua"/>
                <w:color w:val="222222"/>
                <w:sz w:val="20"/>
                <w:szCs w:val="20"/>
                <w:shd w:val="clear" w:color="auto" w:fill="FFFFFF"/>
              </w:rPr>
              <w:t>±0.9</w:t>
            </w:r>
          </w:p>
        </w:tc>
        <w:tc>
          <w:tcPr>
            <w:tcW w:w="114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6.04</w:t>
            </w:r>
            <w:r w:rsidRPr="003B4F77">
              <w:rPr>
                <w:rFonts w:ascii="Book Antiqua" w:hAnsi="Book Antiqua"/>
                <w:color w:val="222222"/>
                <w:sz w:val="20"/>
                <w:szCs w:val="20"/>
                <w:shd w:val="clear" w:color="auto" w:fill="FFFFFF"/>
              </w:rPr>
              <w:t>±0.9</w:t>
            </w:r>
          </w:p>
        </w:tc>
        <w:tc>
          <w:tcPr>
            <w:tcW w:w="125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0.479</w:t>
            </w:r>
          </w:p>
        </w:tc>
      </w:tr>
      <w:tr w:rsidR="0053136D" w:rsidRPr="003B4F77" w:rsidTr="003B4F77">
        <w:trPr>
          <w:trHeight w:val="264"/>
          <w:jc w:val="center"/>
        </w:trPr>
        <w:tc>
          <w:tcPr>
            <w:tcW w:w="157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Total Body Fat (%)</w:t>
            </w:r>
          </w:p>
        </w:tc>
        <w:tc>
          <w:tcPr>
            <w:tcW w:w="103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41.6</w:t>
            </w:r>
            <w:r w:rsidRPr="003B4F77">
              <w:rPr>
                <w:rFonts w:ascii="Book Antiqua" w:hAnsi="Book Antiqua"/>
                <w:color w:val="222222"/>
                <w:sz w:val="20"/>
                <w:szCs w:val="20"/>
                <w:shd w:val="clear" w:color="auto" w:fill="FFFFFF"/>
              </w:rPr>
              <w:t>±7.1</w:t>
            </w:r>
          </w:p>
        </w:tc>
        <w:tc>
          <w:tcPr>
            <w:tcW w:w="114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39.8</w:t>
            </w:r>
            <w:r w:rsidRPr="003B4F77">
              <w:rPr>
                <w:rFonts w:ascii="Book Antiqua" w:hAnsi="Book Antiqua"/>
                <w:color w:val="222222"/>
                <w:sz w:val="20"/>
                <w:szCs w:val="20"/>
                <w:shd w:val="clear" w:color="auto" w:fill="FFFFFF"/>
              </w:rPr>
              <w:t>±6.2</w:t>
            </w:r>
          </w:p>
        </w:tc>
        <w:tc>
          <w:tcPr>
            <w:tcW w:w="125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0.442</w:t>
            </w:r>
          </w:p>
        </w:tc>
      </w:tr>
      <w:tr w:rsidR="0053136D" w:rsidRPr="003B4F77" w:rsidTr="003B4F77">
        <w:trPr>
          <w:trHeight w:val="264"/>
          <w:jc w:val="center"/>
        </w:trPr>
        <w:tc>
          <w:tcPr>
            <w:tcW w:w="157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Lumbar BMD (g/m</w:t>
            </w:r>
            <w:r w:rsidRPr="003B4F77">
              <w:rPr>
                <w:rFonts w:ascii="Book Antiqua" w:hAnsi="Book Antiqua"/>
                <w:sz w:val="20"/>
                <w:szCs w:val="20"/>
                <w:vertAlign w:val="superscript"/>
              </w:rPr>
              <w:t>2</w:t>
            </w:r>
            <w:r w:rsidRPr="003B4F77">
              <w:rPr>
                <w:rFonts w:ascii="Book Antiqua" w:hAnsi="Book Antiqua"/>
                <w:sz w:val="20"/>
                <w:szCs w:val="20"/>
              </w:rPr>
              <w:t>)</w:t>
            </w:r>
          </w:p>
        </w:tc>
        <w:tc>
          <w:tcPr>
            <w:tcW w:w="103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1.097</w:t>
            </w:r>
            <w:r w:rsidRPr="003B4F77">
              <w:rPr>
                <w:rFonts w:ascii="Book Antiqua" w:hAnsi="Book Antiqua"/>
                <w:color w:val="222222"/>
                <w:sz w:val="20"/>
                <w:szCs w:val="20"/>
                <w:shd w:val="clear" w:color="auto" w:fill="FFFFFF"/>
              </w:rPr>
              <w:t>±.0186</w:t>
            </w:r>
          </w:p>
        </w:tc>
        <w:tc>
          <w:tcPr>
            <w:tcW w:w="114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1.064</w:t>
            </w:r>
            <w:r w:rsidRPr="003B4F77">
              <w:rPr>
                <w:rFonts w:ascii="Book Antiqua" w:hAnsi="Book Antiqua"/>
                <w:color w:val="222222"/>
                <w:sz w:val="20"/>
                <w:szCs w:val="20"/>
                <w:shd w:val="clear" w:color="auto" w:fill="FFFFFF"/>
              </w:rPr>
              <w:t>±0.185</w:t>
            </w:r>
          </w:p>
        </w:tc>
        <w:tc>
          <w:tcPr>
            <w:tcW w:w="125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0.607</w:t>
            </w:r>
          </w:p>
        </w:tc>
      </w:tr>
      <w:tr w:rsidR="0053136D" w:rsidRPr="003B4F77" w:rsidTr="003B4F77">
        <w:trPr>
          <w:trHeight w:val="264"/>
          <w:jc w:val="center"/>
        </w:trPr>
        <w:tc>
          <w:tcPr>
            <w:tcW w:w="157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Left Femoral Neck (g/m</w:t>
            </w:r>
            <w:r w:rsidRPr="003B4F77">
              <w:rPr>
                <w:rFonts w:ascii="Book Antiqua" w:hAnsi="Book Antiqua"/>
                <w:sz w:val="20"/>
                <w:szCs w:val="20"/>
                <w:vertAlign w:val="superscript"/>
              </w:rPr>
              <w:t>2</w:t>
            </w:r>
            <w:r w:rsidRPr="003B4F77">
              <w:rPr>
                <w:rFonts w:ascii="Book Antiqua" w:hAnsi="Book Antiqua"/>
                <w:sz w:val="20"/>
                <w:szCs w:val="20"/>
              </w:rPr>
              <w:t>)</w:t>
            </w:r>
            <w:r w:rsidRPr="003B4F77">
              <w:rPr>
                <w:rFonts w:ascii="Book Antiqua" w:hAnsi="Book Antiqua"/>
                <w:sz w:val="20"/>
                <w:szCs w:val="20"/>
                <w:vertAlign w:val="superscript"/>
              </w:rPr>
              <w:t>‡</w:t>
            </w:r>
          </w:p>
        </w:tc>
        <w:tc>
          <w:tcPr>
            <w:tcW w:w="103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0.851</w:t>
            </w:r>
            <w:r w:rsidRPr="003B4F77">
              <w:rPr>
                <w:rFonts w:ascii="Book Antiqua" w:hAnsi="Book Antiqua"/>
                <w:color w:val="222222"/>
                <w:sz w:val="20"/>
                <w:szCs w:val="20"/>
                <w:shd w:val="clear" w:color="auto" w:fill="FFFFFF"/>
              </w:rPr>
              <w:t xml:space="preserve">±0.080 </w:t>
            </w:r>
          </w:p>
        </w:tc>
        <w:tc>
          <w:tcPr>
            <w:tcW w:w="114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0.878</w:t>
            </w:r>
            <w:r w:rsidRPr="003B4F77">
              <w:rPr>
                <w:rFonts w:ascii="Book Antiqua" w:hAnsi="Book Antiqua"/>
                <w:color w:val="222222"/>
                <w:sz w:val="20"/>
                <w:szCs w:val="20"/>
                <w:shd w:val="clear" w:color="auto" w:fill="FFFFFF"/>
              </w:rPr>
              <w:t>±0.091</w:t>
            </w:r>
          </w:p>
        </w:tc>
        <w:tc>
          <w:tcPr>
            <w:tcW w:w="125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0.367</w:t>
            </w:r>
          </w:p>
        </w:tc>
      </w:tr>
      <w:tr w:rsidR="0053136D" w:rsidRPr="003B4F77" w:rsidTr="003B4F77">
        <w:trPr>
          <w:trHeight w:val="264"/>
          <w:jc w:val="center"/>
        </w:trPr>
        <w:tc>
          <w:tcPr>
            <w:tcW w:w="157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Right Femoral Neck (g/m</w:t>
            </w:r>
            <w:r w:rsidRPr="003B4F77">
              <w:rPr>
                <w:rFonts w:ascii="Book Antiqua" w:hAnsi="Book Antiqua"/>
                <w:sz w:val="20"/>
                <w:szCs w:val="20"/>
                <w:vertAlign w:val="superscript"/>
              </w:rPr>
              <w:t>2</w:t>
            </w:r>
            <w:r w:rsidRPr="003B4F77">
              <w:rPr>
                <w:rFonts w:ascii="Book Antiqua" w:hAnsi="Book Antiqua"/>
                <w:sz w:val="20"/>
                <w:szCs w:val="20"/>
              </w:rPr>
              <w:t>)</w:t>
            </w:r>
            <w:r w:rsidRPr="003B4F77">
              <w:rPr>
                <w:rFonts w:ascii="Book Antiqua" w:hAnsi="Book Antiqua"/>
                <w:sz w:val="20"/>
                <w:szCs w:val="20"/>
                <w:vertAlign w:val="superscript"/>
              </w:rPr>
              <w:t xml:space="preserve"> ‡</w:t>
            </w:r>
          </w:p>
        </w:tc>
        <w:tc>
          <w:tcPr>
            <w:tcW w:w="103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0.807</w:t>
            </w:r>
            <w:r w:rsidRPr="003B4F77">
              <w:rPr>
                <w:rFonts w:ascii="Book Antiqua" w:hAnsi="Book Antiqua"/>
                <w:color w:val="222222"/>
                <w:sz w:val="20"/>
                <w:szCs w:val="20"/>
                <w:shd w:val="clear" w:color="auto" w:fill="FFFFFF"/>
              </w:rPr>
              <w:t xml:space="preserve">±0.211 </w:t>
            </w:r>
          </w:p>
        </w:tc>
        <w:tc>
          <w:tcPr>
            <w:tcW w:w="114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0.859</w:t>
            </w:r>
            <w:r w:rsidRPr="003B4F77">
              <w:rPr>
                <w:rFonts w:ascii="Book Antiqua" w:hAnsi="Book Antiqua"/>
                <w:color w:val="222222"/>
                <w:sz w:val="20"/>
                <w:szCs w:val="20"/>
                <w:shd w:val="clear" w:color="auto" w:fill="FFFFFF"/>
              </w:rPr>
              <w:t>±0.083</w:t>
            </w:r>
          </w:p>
        </w:tc>
        <w:tc>
          <w:tcPr>
            <w:tcW w:w="125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0.340</w:t>
            </w:r>
          </w:p>
        </w:tc>
      </w:tr>
      <w:tr w:rsidR="0053136D" w:rsidRPr="003B4F77" w:rsidTr="003B4F77">
        <w:trPr>
          <w:trHeight w:val="264"/>
          <w:jc w:val="center"/>
        </w:trPr>
        <w:tc>
          <w:tcPr>
            <w:tcW w:w="157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Left Femur (g/m</w:t>
            </w:r>
            <w:r w:rsidRPr="003B4F77">
              <w:rPr>
                <w:rFonts w:ascii="Book Antiqua" w:hAnsi="Book Antiqua"/>
                <w:sz w:val="20"/>
                <w:szCs w:val="20"/>
                <w:vertAlign w:val="superscript"/>
              </w:rPr>
              <w:t>2</w:t>
            </w:r>
            <w:r w:rsidRPr="003B4F77">
              <w:rPr>
                <w:rFonts w:ascii="Book Antiqua" w:hAnsi="Book Antiqua"/>
                <w:sz w:val="20"/>
                <w:szCs w:val="20"/>
              </w:rPr>
              <w:t>)</w:t>
            </w:r>
            <w:r w:rsidRPr="003B4F77">
              <w:rPr>
                <w:rFonts w:ascii="Book Antiqua" w:hAnsi="Book Antiqua"/>
                <w:sz w:val="20"/>
                <w:szCs w:val="20"/>
                <w:vertAlign w:val="superscript"/>
              </w:rPr>
              <w:t xml:space="preserve"> ‡</w:t>
            </w:r>
          </w:p>
        </w:tc>
        <w:tc>
          <w:tcPr>
            <w:tcW w:w="103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0.924</w:t>
            </w:r>
            <w:r w:rsidRPr="003B4F77">
              <w:rPr>
                <w:rFonts w:ascii="Book Antiqua" w:hAnsi="Book Antiqua"/>
                <w:color w:val="222222"/>
                <w:sz w:val="20"/>
                <w:szCs w:val="20"/>
                <w:shd w:val="clear" w:color="auto" w:fill="FFFFFF"/>
              </w:rPr>
              <w:t xml:space="preserve">±0.091 </w:t>
            </w:r>
          </w:p>
        </w:tc>
        <w:tc>
          <w:tcPr>
            <w:tcW w:w="114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0.916</w:t>
            </w:r>
            <w:r w:rsidRPr="003B4F77">
              <w:rPr>
                <w:rFonts w:ascii="Book Antiqua" w:hAnsi="Book Antiqua"/>
                <w:color w:val="222222"/>
                <w:sz w:val="20"/>
                <w:szCs w:val="20"/>
                <w:shd w:val="clear" w:color="auto" w:fill="FFFFFF"/>
              </w:rPr>
              <w:t>±0.093</w:t>
            </w:r>
          </w:p>
        </w:tc>
        <w:tc>
          <w:tcPr>
            <w:tcW w:w="125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0.815</w:t>
            </w:r>
          </w:p>
        </w:tc>
      </w:tr>
      <w:tr w:rsidR="0053136D" w:rsidRPr="003B4F77" w:rsidTr="003B4F77">
        <w:trPr>
          <w:trHeight w:val="264"/>
          <w:jc w:val="center"/>
        </w:trPr>
        <w:tc>
          <w:tcPr>
            <w:tcW w:w="157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Right Femur (g/m</w:t>
            </w:r>
            <w:r w:rsidRPr="003B4F77">
              <w:rPr>
                <w:rFonts w:ascii="Book Antiqua" w:hAnsi="Book Antiqua"/>
                <w:sz w:val="20"/>
                <w:szCs w:val="20"/>
                <w:vertAlign w:val="superscript"/>
              </w:rPr>
              <w:t>2</w:t>
            </w:r>
            <w:r w:rsidRPr="003B4F77">
              <w:rPr>
                <w:rFonts w:ascii="Book Antiqua" w:hAnsi="Book Antiqua"/>
                <w:sz w:val="20"/>
                <w:szCs w:val="20"/>
              </w:rPr>
              <w:t>)</w:t>
            </w:r>
            <w:r w:rsidRPr="003B4F77">
              <w:rPr>
                <w:rFonts w:ascii="Book Antiqua" w:hAnsi="Book Antiqua"/>
                <w:sz w:val="20"/>
                <w:szCs w:val="20"/>
                <w:vertAlign w:val="superscript"/>
              </w:rPr>
              <w:t xml:space="preserve"> ‡</w:t>
            </w:r>
          </w:p>
        </w:tc>
        <w:tc>
          <w:tcPr>
            <w:tcW w:w="103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0.928</w:t>
            </w:r>
            <w:r w:rsidRPr="003B4F77">
              <w:rPr>
                <w:rFonts w:ascii="Book Antiqua" w:hAnsi="Book Antiqua"/>
                <w:color w:val="222222"/>
                <w:sz w:val="20"/>
                <w:szCs w:val="20"/>
                <w:shd w:val="clear" w:color="auto" w:fill="FFFFFF"/>
              </w:rPr>
              <w:t xml:space="preserve">±0.099 </w:t>
            </w:r>
          </w:p>
        </w:tc>
        <w:tc>
          <w:tcPr>
            <w:tcW w:w="114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0.906</w:t>
            </w:r>
            <w:r w:rsidRPr="003B4F77">
              <w:rPr>
                <w:rFonts w:ascii="Book Antiqua" w:hAnsi="Book Antiqua"/>
                <w:color w:val="222222"/>
                <w:sz w:val="20"/>
                <w:szCs w:val="20"/>
                <w:shd w:val="clear" w:color="auto" w:fill="FFFFFF"/>
              </w:rPr>
              <w:t>±0.097</w:t>
            </w:r>
          </w:p>
        </w:tc>
        <w:tc>
          <w:tcPr>
            <w:tcW w:w="125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0.507</w:t>
            </w:r>
          </w:p>
        </w:tc>
      </w:tr>
      <w:tr w:rsidR="0053136D" w:rsidRPr="003B4F77" w:rsidTr="003B4F77">
        <w:trPr>
          <w:trHeight w:val="264"/>
          <w:jc w:val="center"/>
        </w:trPr>
        <w:tc>
          <w:tcPr>
            <w:tcW w:w="157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Left Radius Total (g/m</w:t>
            </w:r>
            <w:r w:rsidRPr="003B4F77">
              <w:rPr>
                <w:rFonts w:ascii="Book Antiqua" w:hAnsi="Book Antiqua"/>
                <w:sz w:val="20"/>
                <w:szCs w:val="20"/>
                <w:vertAlign w:val="superscript"/>
              </w:rPr>
              <w:t>2</w:t>
            </w:r>
            <w:r w:rsidRPr="003B4F77">
              <w:rPr>
                <w:rFonts w:ascii="Book Antiqua" w:hAnsi="Book Antiqua"/>
                <w:sz w:val="20"/>
                <w:szCs w:val="20"/>
              </w:rPr>
              <w:t>)</w:t>
            </w:r>
          </w:p>
        </w:tc>
        <w:tc>
          <w:tcPr>
            <w:tcW w:w="103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0.592</w:t>
            </w:r>
            <w:r w:rsidRPr="003B4F77">
              <w:rPr>
                <w:rFonts w:ascii="Book Antiqua" w:hAnsi="Book Antiqua"/>
                <w:color w:val="222222"/>
                <w:sz w:val="20"/>
                <w:szCs w:val="20"/>
                <w:shd w:val="clear" w:color="auto" w:fill="FFFFFF"/>
              </w:rPr>
              <w:t xml:space="preserve">±0.087 </w:t>
            </w:r>
          </w:p>
        </w:tc>
        <w:tc>
          <w:tcPr>
            <w:tcW w:w="1145"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0.607</w:t>
            </w:r>
            <w:r w:rsidRPr="003B4F77">
              <w:rPr>
                <w:rFonts w:ascii="Book Antiqua" w:hAnsi="Book Antiqua"/>
                <w:color w:val="222222"/>
                <w:sz w:val="20"/>
                <w:szCs w:val="20"/>
                <w:shd w:val="clear" w:color="auto" w:fill="FFFFFF"/>
              </w:rPr>
              <w:t>±0.043</w:t>
            </w:r>
          </w:p>
        </w:tc>
        <w:tc>
          <w:tcPr>
            <w:tcW w:w="1250"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0.538</w:t>
            </w:r>
          </w:p>
        </w:tc>
      </w:tr>
      <w:tr w:rsidR="0053136D" w:rsidRPr="003B4F77" w:rsidTr="003B4F77">
        <w:trPr>
          <w:trHeight w:val="264"/>
          <w:jc w:val="center"/>
        </w:trPr>
        <w:tc>
          <w:tcPr>
            <w:tcW w:w="1570" w:type="pct"/>
            <w:tcBorders>
              <w:top w:val="nil"/>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Right Radius Total (g/m</w:t>
            </w:r>
            <w:r w:rsidRPr="003B4F77">
              <w:rPr>
                <w:rFonts w:ascii="Book Antiqua" w:hAnsi="Book Antiqua"/>
                <w:sz w:val="20"/>
                <w:szCs w:val="20"/>
                <w:vertAlign w:val="superscript"/>
              </w:rPr>
              <w:t>2</w:t>
            </w:r>
            <w:r w:rsidRPr="003B4F77">
              <w:rPr>
                <w:rFonts w:ascii="Book Antiqua" w:hAnsi="Book Antiqua"/>
                <w:sz w:val="20"/>
                <w:szCs w:val="20"/>
              </w:rPr>
              <w:t>)</w:t>
            </w:r>
          </w:p>
        </w:tc>
        <w:tc>
          <w:tcPr>
            <w:tcW w:w="1035" w:type="pct"/>
            <w:tcBorders>
              <w:top w:val="nil"/>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0.606</w:t>
            </w:r>
            <w:r w:rsidRPr="003B4F77">
              <w:rPr>
                <w:rFonts w:ascii="Book Antiqua" w:hAnsi="Book Antiqua"/>
                <w:color w:val="222222"/>
                <w:sz w:val="20"/>
                <w:szCs w:val="20"/>
                <w:shd w:val="clear" w:color="auto" w:fill="FFFFFF"/>
              </w:rPr>
              <w:t>±0.089</w:t>
            </w:r>
          </w:p>
        </w:tc>
        <w:tc>
          <w:tcPr>
            <w:tcW w:w="1145" w:type="pct"/>
            <w:tcBorders>
              <w:top w:val="nil"/>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0.603</w:t>
            </w:r>
            <w:r w:rsidRPr="003B4F77">
              <w:rPr>
                <w:rFonts w:ascii="Book Antiqua" w:hAnsi="Book Antiqua"/>
                <w:color w:val="222222"/>
                <w:sz w:val="20"/>
                <w:szCs w:val="20"/>
                <w:shd w:val="clear" w:color="auto" w:fill="FFFFFF"/>
              </w:rPr>
              <w:t>±0.055</w:t>
            </w:r>
          </w:p>
        </w:tc>
        <w:tc>
          <w:tcPr>
            <w:tcW w:w="1250" w:type="pct"/>
            <w:tcBorders>
              <w:top w:val="nil"/>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0.882</w:t>
            </w:r>
          </w:p>
        </w:tc>
      </w:tr>
      <w:tr w:rsidR="0053136D" w:rsidRPr="003B4F77" w:rsidTr="003B4F77">
        <w:trPr>
          <w:jc w:val="center"/>
        </w:trPr>
        <w:tc>
          <w:tcPr>
            <w:tcW w:w="5000" w:type="pct"/>
            <w:gridSpan w:val="4"/>
            <w:tcBorders>
              <w:top w:val="single" w:sz="4" w:space="0" w:color="auto"/>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bCs/>
                <w:sz w:val="20"/>
                <w:szCs w:val="20"/>
              </w:rPr>
              <w:lastRenderedPageBreak/>
              <w:t xml:space="preserve">Values are mean </w:t>
            </w:r>
            <w:r w:rsidRPr="003B4F77">
              <w:rPr>
                <w:rFonts w:ascii="Book Antiqua" w:eastAsia="MS PGothic" w:hAnsi="Book Antiqua"/>
                <w:sz w:val="20"/>
                <w:szCs w:val="20"/>
              </w:rPr>
              <w:t xml:space="preserve">± </w:t>
            </w:r>
            <w:r w:rsidRPr="003B4F77">
              <w:rPr>
                <w:rFonts w:ascii="Book Antiqua" w:hAnsi="Book Antiqua"/>
                <w:bCs/>
                <w:sz w:val="20"/>
                <w:szCs w:val="20"/>
              </w:rPr>
              <w:t xml:space="preserve">SD; BCS = breast cancer survivors; LST = lean soft tissue, ASMI = appendicular skeletal mass index; BMD = bone mineral density; </w:t>
            </w:r>
            <w:r w:rsidRPr="003B4F77">
              <w:rPr>
                <w:rFonts w:ascii="Book Antiqua" w:hAnsi="Book Antiqua"/>
                <w:sz w:val="20"/>
                <w:szCs w:val="20"/>
                <w:vertAlign w:val="superscript"/>
              </w:rPr>
              <w:t>‡</w:t>
            </w:r>
            <w:r w:rsidRPr="003B4F77">
              <w:rPr>
                <w:rFonts w:ascii="Book Antiqua" w:hAnsi="Book Antiqua"/>
                <w:bCs/>
                <w:sz w:val="20"/>
                <w:szCs w:val="20"/>
              </w:rPr>
              <w:t xml:space="preserve"> n = 16 for BCS group because one participant had dual hip replacement.</w:t>
            </w:r>
          </w:p>
        </w:tc>
      </w:tr>
    </w:tbl>
    <w:p w:rsidR="0053136D" w:rsidRPr="003B4F77" w:rsidRDefault="0053136D" w:rsidP="0053136D">
      <w:pPr>
        <w:tabs>
          <w:tab w:val="left" w:pos="3519"/>
        </w:tabs>
        <w:jc w:val="both"/>
        <w:rPr>
          <w:rFonts w:ascii="Book Antiqua" w:eastAsia="Book Antiqua" w:hAnsi="Book Antiqua" w:cs="Book Antiqua"/>
        </w:rPr>
      </w:pPr>
    </w:p>
    <w:tbl>
      <w:tblPr>
        <w:tblStyle w:val="TableGrid"/>
        <w:tblW w:w="5000" w:type="pct"/>
        <w:jc w:val="center"/>
        <w:tblLook w:val="04A0" w:firstRow="1" w:lastRow="0" w:firstColumn="1" w:lastColumn="0" w:noHBand="0" w:noVBand="1"/>
      </w:tblPr>
      <w:tblGrid>
        <w:gridCol w:w="3669"/>
        <w:gridCol w:w="3052"/>
        <w:gridCol w:w="3359"/>
      </w:tblGrid>
      <w:tr w:rsidR="0053136D" w:rsidRPr="003B4F77" w:rsidTr="003B4F77">
        <w:trPr>
          <w:trHeight w:val="332"/>
          <w:jc w:val="center"/>
        </w:trPr>
        <w:tc>
          <w:tcPr>
            <w:tcW w:w="5000" w:type="pct"/>
            <w:gridSpan w:val="3"/>
            <w:tcBorders>
              <w:top w:val="nil"/>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b/>
                <w:sz w:val="20"/>
              </w:rPr>
              <w:t>Table 3.</w:t>
            </w:r>
            <w:r w:rsidRPr="003B4F77">
              <w:rPr>
                <w:rFonts w:ascii="Book Antiqua" w:hAnsi="Book Antiqua"/>
                <w:sz w:val="20"/>
              </w:rPr>
              <w:t xml:space="preserve"> Prevalence of osteosarcopenic obesity criteria between BCS and controls.</w:t>
            </w:r>
          </w:p>
        </w:tc>
      </w:tr>
      <w:tr w:rsidR="0053136D" w:rsidRPr="003B4F77" w:rsidTr="003B4F77">
        <w:trPr>
          <w:trHeight w:val="332"/>
          <w:jc w:val="center"/>
        </w:trPr>
        <w:tc>
          <w:tcPr>
            <w:tcW w:w="1820"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rPr>
            </w:pPr>
          </w:p>
        </w:tc>
        <w:tc>
          <w:tcPr>
            <w:tcW w:w="1514"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BCS (n=17)</w:t>
            </w:r>
          </w:p>
        </w:tc>
        <w:tc>
          <w:tcPr>
            <w:tcW w:w="1666"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Controls (n=18)</w:t>
            </w:r>
          </w:p>
        </w:tc>
      </w:tr>
      <w:tr w:rsidR="0053136D" w:rsidRPr="003B4F77" w:rsidTr="003B4F77">
        <w:trPr>
          <w:trHeight w:val="282"/>
          <w:jc w:val="center"/>
        </w:trPr>
        <w:tc>
          <w:tcPr>
            <w:tcW w:w="1820" w:type="pct"/>
            <w:tcBorders>
              <w:top w:val="single" w:sz="4" w:space="0" w:color="auto"/>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Low BMD Lumbar Spine (L1-L4)</w:t>
            </w:r>
            <w:r w:rsidRPr="003B4F77">
              <w:rPr>
                <w:rFonts w:ascii="Book Antiqua" w:hAnsi="Book Antiqua"/>
                <w:sz w:val="20"/>
                <w:szCs w:val="20"/>
                <w:vertAlign w:val="superscript"/>
              </w:rPr>
              <w:t xml:space="preserve"> ‡</w:t>
            </w:r>
          </w:p>
        </w:tc>
        <w:tc>
          <w:tcPr>
            <w:tcW w:w="1514" w:type="pct"/>
            <w:tcBorders>
              <w:top w:val="single" w:sz="4" w:space="0" w:color="auto"/>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  7 (41.2)</w:t>
            </w:r>
          </w:p>
        </w:tc>
        <w:tc>
          <w:tcPr>
            <w:tcW w:w="1666" w:type="pct"/>
            <w:tcBorders>
              <w:top w:val="single" w:sz="4" w:space="0" w:color="auto"/>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  3 (16.7)</w:t>
            </w:r>
          </w:p>
        </w:tc>
      </w:tr>
      <w:tr w:rsidR="0053136D" w:rsidRPr="003B4F77" w:rsidTr="003B4F77">
        <w:trPr>
          <w:trHeight w:val="282"/>
          <w:jc w:val="center"/>
        </w:trPr>
        <w:tc>
          <w:tcPr>
            <w:tcW w:w="1820"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Low BMD Left Femoral Neck</w:t>
            </w:r>
            <w:r w:rsidRPr="003B4F77">
              <w:rPr>
                <w:rFonts w:ascii="Book Antiqua" w:hAnsi="Book Antiqua"/>
                <w:sz w:val="20"/>
                <w:szCs w:val="20"/>
                <w:vertAlign w:val="superscript"/>
              </w:rPr>
              <w:t>‡</w:t>
            </w:r>
          </w:p>
        </w:tc>
        <w:tc>
          <w:tcPr>
            <w:tcW w:w="1514"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12 (70.6)</w:t>
            </w:r>
          </w:p>
        </w:tc>
        <w:tc>
          <w:tcPr>
            <w:tcW w:w="1666"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  9 (50.0)</w:t>
            </w:r>
          </w:p>
        </w:tc>
      </w:tr>
      <w:tr w:rsidR="0053136D" w:rsidRPr="003B4F77" w:rsidTr="003B4F77">
        <w:trPr>
          <w:trHeight w:val="282"/>
          <w:jc w:val="center"/>
        </w:trPr>
        <w:tc>
          <w:tcPr>
            <w:tcW w:w="1820"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Low BMD Right Femoral Neck</w:t>
            </w:r>
            <w:r w:rsidRPr="003B4F77">
              <w:rPr>
                <w:rFonts w:ascii="Book Antiqua" w:hAnsi="Book Antiqua"/>
                <w:sz w:val="20"/>
                <w:szCs w:val="20"/>
                <w:vertAlign w:val="superscript"/>
              </w:rPr>
              <w:t>‡</w:t>
            </w:r>
            <w:r w:rsidRPr="003B4F77">
              <w:rPr>
                <w:rFonts w:ascii="Book Antiqua" w:hAnsi="Book Antiqua"/>
                <w:sz w:val="20"/>
              </w:rPr>
              <w:t xml:space="preserve"> </w:t>
            </w:r>
          </w:p>
        </w:tc>
        <w:tc>
          <w:tcPr>
            <w:tcW w:w="1514"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13 (76.5)</w:t>
            </w:r>
          </w:p>
        </w:tc>
        <w:tc>
          <w:tcPr>
            <w:tcW w:w="1666"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12 (66.7)</w:t>
            </w:r>
          </w:p>
        </w:tc>
      </w:tr>
      <w:tr w:rsidR="0053136D" w:rsidRPr="003B4F77" w:rsidTr="003B4F77">
        <w:trPr>
          <w:trHeight w:val="282"/>
          <w:jc w:val="center"/>
        </w:trPr>
        <w:tc>
          <w:tcPr>
            <w:tcW w:w="1820"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Sarcopenia</w:t>
            </w:r>
          </w:p>
        </w:tc>
        <w:tc>
          <w:tcPr>
            <w:tcW w:w="1514"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  2 (11.8)</w:t>
            </w:r>
          </w:p>
        </w:tc>
        <w:tc>
          <w:tcPr>
            <w:tcW w:w="1666"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  1 (5.6)</w:t>
            </w:r>
          </w:p>
        </w:tc>
      </w:tr>
      <w:tr w:rsidR="0053136D" w:rsidRPr="003B4F77" w:rsidTr="003B4F77">
        <w:trPr>
          <w:trHeight w:val="282"/>
          <w:jc w:val="center"/>
        </w:trPr>
        <w:tc>
          <w:tcPr>
            <w:tcW w:w="1820"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Obesity</w:t>
            </w:r>
          </w:p>
        </w:tc>
        <w:tc>
          <w:tcPr>
            <w:tcW w:w="1514"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16 (94.1)</w:t>
            </w:r>
          </w:p>
        </w:tc>
        <w:tc>
          <w:tcPr>
            <w:tcW w:w="1666"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17 (94.4)</w:t>
            </w:r>
          </w:p>
        </w:tc>
      </w:tr>
      <w:tr w:rsidR="0053136D" w:rsidRPr="003B4F77" w:rsidTr="003B4F77">
        <w:trPr>
          <w:trHeight w:val="282"/>
          <w:jc w:val="center"/>
        </w:trPr>
        <w:tc>
          <w:tcPr>
            <w:tcW w:w="1820"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Sarcopenic Obesity </w:t>
            </w:r>
          </w:p>
        </w:tc>
        <w:tc>
          <w:tcPr>
            <w:tcW w:w="1514"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  1 (5.9)</w:t>
            </w:r>
          </w:p>
        </w:tc>
        <w:tc>
          <w:tcPr>
            <w:tcW w:w="1666"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  0 (0.0)</w:t>
            </w:r>
          </w:p>
        </w:tc>
      </w:tr>
      <w:tr w:rsidR="0053136D" w:rsidRPr="003B4F77" w:rsidTr="003B4F77">
        <w:trPr>
          <w:trHeight w:val="282"/>
          <w:jc w:val="center"/>
        </w:trPr>
        <w:tc>
          <w:tcPr>
            <w:tcW w:w="1820" w:type="pct"/>
            <w:tcBorders>
              <w:top w:val="nil"/>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Osteosarcopenic Obesity</w:t>
            </w:r>
          </w:p>
        </w:tc>
        <w:tc>
          <w:tcPr>
            <w:tcW w:w="1514" w:type="pct"/>
            <w:tcBorders>
              <w:top w:val="nil"/>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  1 (5.9)</w:t>
            </w:r>
          </w:p>
        </w:tc>
        <w:tc>
          <w:tcPr>
            <w:tcW w:w="1666" w:type="pct"/>
            <w:tcBorders>
              <w:top w:val="nil"/>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  0 (0.0)</w:t>
            </w:r>
          </w:p>
        </w:tc>
      </w:tr>
      <w:tr w:rsidR="0053136D" w:rsidRPr="003B4F77" w:rsidTr="003B4F77">
        <w:trPr>
          <w:trHeight w:val="224"/>
          <w:jc w:val="center"/>
        </w:trPr>
        <w:tc>
          <w:tcPr>
            <w:tcW w:w="5000" w:type="pct"/>
            <w:gridSpan w:val="3"/>
            <w:tcBorders>
              <w:top w:val="single" w:sz="4" w:space="0" w:color="auto"/>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Values are n (% of sample)</w:t>
            </w:r>
            <w:r w:rsidRPr="003B4F77">
              <w:rPr>
                <w:rFonts w:ascii="Book Antiqua" w:hAnsi="Book Antiqua"/>
                <w:bCs/>
                <w:sz w:val="20"/>
              </w:rPr>
              <w:t xml:space="preserve">; </w:t>
            </w:r>
            <w:r w:rsidRPr="003B4F77">
              <w:rPr>
                <w:rFonts w:ascii="Book Antiqua" w:hAnsi="Book Antiqua"/>
                <w:bCs/>
                <w:sz w:val="20"/>
                <w:szCs w:val="20"/>
              </w:rPr>
              <w:t xml:space="preserve">BCS = breast cancer survivors; </w:t>
            </w:r>
            <w:r w:rsidRPr="003B4F77">
              <w:rPr>
                <w:rFonts w:ascii="Book Antiqua" w:hAnsi="Book Antiqua"/>
                <w:sz w:val="20"/>
                <w:szCs w:val="20"/>
                <w:vertAlign w:val="superscript"/>
              </w:rPr>
              <w:t>‡</w:t>
            </w:r>
            <w:r w:rsidRPr="003B4F77">
              <w:rPr>
                <w:rFonts w:ascii="Book Antiqua" w:hAnsi="Book Antiqua"/>
                <w:sz w:val="20"/>
              </w:rPr>
              <w:t xml:space="preserve"> Low BMD</w:t>
            </w:r>
            <w:r w:rsidRPr="003B4F77">
              <w:rPr>
                <w:rFonts w:ascii="Book Antiqua" w:hAnsi="Book Antiqua"/>
                <w:bCs/>
                <w:sz w:val="20"/>
                <w:szCs w:val="20"/>
              </w:rPr>
              <w:t xml:space="preserve"> classified as</w:t>
            </w:r>
            <w:r w:rsidRPr="003B4F77">
              <w:rPr>
                <w:rFonts w:ascii="Book Antiqua" w:hAnsi="Book Antiqua"/>
                <w:sz w:val="20"/>
                <w:szCs w:val="20"/>
                <w:vertAlign w:val="superscript"/>
              </w:rPr>
              <w:t xml:space="preserve"> </w:t>
            </w:r>
            <w:r w:rsidRPr="003B4F77">
              <w:rPr>
                <w:rFonts w:ascii="Book Antiqua" w:hAnsi="Book Antiqua"/>
                <w:sz w:val="20"/>
                <w:szCs w:val="20"/>
              </w:rPr>
              <w:t>T-score &lt; -1 SD</w:t>
            </w:r>
          </w:p>
        </w:tc>
      </w:tr>
    </w:tbl>
    <w:p w:rsidR="0053136D" w:rsidRPr="003B4F77" w:rsidRDefault="0053136D" w:rsidP="0053136D">
      <w:pPr>
        <w:tabs>
          <w:tab w:val="left" w:pos="3519"/>
        </w:tabs>
        <w:jc w:val="both"/>
        <w:rPr>
          <w:rFonts w:ascii="Book Antiqua" w:eastAsia="Book Antiqua" w:hAnsi="Book Antiqua" w:cs="Book Antiqua"/>
          <w:i/>
        </w:rPr>
      </w:pPr>
    </w:p>
    <w:p w:rsidR="0053136D" w:rsidRPr="003B4F77" w:rsidRDefault="0053136D" w:rsidP="0053136D">
      <w:pPr>
        <w:tabs>
          <w:tab w:val="left" w:pos="3519"/>
        </w:tabs>
        <w:jc w:val="both"/>
        <w:rPr>
          <w:rFonts w:ascii="Book Antiqua" w:eastAsia="Book Antiqua" w:hAnsi="Book Antiqua" w:cs="Book Antiqua"/>
        </w:rPr>
      </w:pPr>
      <w:r w:rsidRPr="003B4F77">
        <w:rPr>
          <w:rFonts w:ascii="Book Antiqua" w:eastAsia="Book Antiqua" w:hAnsi="Book Antiqua" w:cs="Book Antiqua"/>
        </w:rPr>
        <w:t xml:space="preserve">A comparison of the metabolic measures between BCS and controls are presented in table 4. One participant from each group did not complete the metabolic assessments due to feelings of claustrophobia when laying under the ventilated hood. There were no significant differences between BCS and controls for resting VO2, predicted REE, and respiratory quotient. </w:t>
      </w:r>
      <w:bookmarkStart w:id="3" w:name="_Hlk29559523"/>
      <w:r w:rsidRPr="003B4F77">
        <w:rPr>
          <w:rFonts w:ascii="Book Antiqua" w:eastAsia="Book Antiqua" w:hAnsi="Book Antiqua" w:cs="Book Antiqua"/>
        </w:rPr>
        <w:t>However, when REE was adjusted for LST, the BCS had a significantly greater REE when compared to the controls (</w:t>
      </w:r>
      <w:r w:rsidRPr="003B4F77">
        <w:rPr>
          <w:rFonts w:ascii="Book Antiqua" w:eastAsia="Book Antiqua" w:hAnsi="Book Antiqua" w:cs="Book Antiqua"/>
          <w:i/>
        </w:rPr>
        <w:t xml:space="preserve">p </w:t>
      </w:r>
      <w:r w:rsidRPr="003B4F77">
        <w:rPr>
          <w:rFonts w:ascii="Book Antiqua" w:eastAsia="Book Antiqua" w:hAnsi="Book Antiqua" w:cs="Book Antiqua"/>
        </w:rPr>
        <w:t xml:space="preserve">= 0.015). </w:t>
      </w:r>
      <w:bookmarkEnd w:id="3"/>
    </w:p>
    <w:p w:rsidR="0053136D" w:rsidRPr="003B4F77" w:rsidRDefault="0053136D" w:rsidP="0053136D">
      <w:pPr>
        <w:tabs>
          <w:tab w:val="left" w:pos="3519"/>
        </w:tabs>
        <w:jc w:val="both"/>
        <w:rPr>
          <w:rFonts w:ascii="Book Antiqua" w:eastAsia="Book Antiqua" w:hAnsi="Book Antiqua" w:cs="Book Antiqua"/>
        </w:rPr>
      </w:pPr>
    </w:p>
    <w:tbl>
      <w:tblPr>
        <w:tblStyle w:val="TableGrid"/>
        <w:tblW w:w="5000" w:type="pct"/>
        <w:jc w:val="center"/>
        <w:tblLook w:val="04A0" w:firstRow="1" w:lastRow="0" w:firstColumn="1" w:lastColumn="0" w:noHBand="0" w:noVBand="1"/>
      </w:tblPr>
      <w:tblGrid>
        <w:gridCol w:w="3490"/>
        <w:gridCol w:w="1762"/>
        <w:gridCol w:w="244"/>
        <w:gridCol w:w="2064"/>
        <w:gridCol w:w="230"/>
        <w:gridCol w:w="2290"/>
      </w:tblGrid>
      <w:tr w:rsidR="0053136D" w:rsidRPr="003B4F77" w:rsidTr="003B4F77">
        <w:trPr>
          <w:trHeight w:val="261"/>
          <w:jc w:val="center"/>
        </w:trPr>
        <w:tc>
          <w:tcPr>
            <w:tcW w:w="5000" w:type="pct"/>
            <w:gridSpan w:val="6"/>
            <w:tcBorders>
              <w:top w:val="nil"/>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b/>
                <w:bCs/>
                <w:sz w:val="20"/>
                <w:szCs w:val="20"/>
              </w:rPr>
              <w:t>Table 3.</w:t>
            </w:r>
            <w:r w:rsidRPr="003B4F77">
              <w:rPr>
                <w:rFonts w:ascii="Book Antiqua" w:hAnsi="Book Antiqua"/>
                <w:bCs/>
                <w:sz w:val="20"/>
                <w:szCs w:val="20"/>
              </w:rPr>
              <w:t xml:space="preserve"> </w:t>
            </w:r>
            <w:r w:rsidRPr="003B4F77">
              <w:rPr>
                <w:rFonts w:ascii="Book Antiqua" w:hAnsi="Book Antiqua"/>
                <w:sz w:val="20"/>
                <w:szCs w:val="20"/>
              </w:rPr>
              <w:t>Comparison of</w:t>
            </w:r>
            <w:r w:rsidRPr="003B4F77">
              <w:rPr>
                <w:rFonts w:ascii="Book Antiqua" w:hAnsi="Book Antiqua"/>
                <w:bCs/>
                <w:sz w:val="20"/>
                <w:szCs w:val="20"/>
              </w:rPr>
              <w:t xml:space="preserve"> metabolic and inflammatory measures between BCS and controls. </w:t>
            </w:r>
          </w:p>
        </w:tc>
      </w:tr>
      <w:tr w:rsidR="0053136D" w:rsidRPr="003B4F77" w:rsidTr="003B4F77">
        <w:trPr>
          <w:trHeight w:val="269"/>
          <w:jc w:val="center"/>
        </w:trPr>
        <w:tc>
          <w:tcPr>
            <w:tcW w:w="1731"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szCs w:val="20"/>
              </w:rPr>
            </w:pPr>
          </w:p>
        </w:tc>
        <w:tc>
          <w:tcPr>
            <w:tcW w:w="874"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BCS (n=17)</w:t>
            </w:r>
          </w:p>
        </w:tc>
        <w:tc>
          <w:tcPr>
            <w:tcW w:w="1145" w:type="pct"/>
            <w:gridSpan w:val="2"/>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Controls (n=18)</w:t>
            </w:r>
          </w:p>
        </w:tc>
        <w:tc>
          <w:tcPr>
            <w:tcW w:w="1250" w:type="pct"/>
            <w:gridSpan w:val="2"/>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szCs w:val="20"/>
              </w:rPr>
              <w:t>P-value</w:t>
            </w:r>
          </w:p>
        </w:tc>
      </w:tr>
      <w:tr w:rsidR="0053136D" w:rsidRPr="003B4F77" w:rsidTr="003B4F77">
        <w:trPr>
          <w:trHeight w:val="235"/>
          <w:jc w:val="center"/>
        </w:trPr>
        <w:tc>
          <w:tcPr>
            <w:tcW w:w="1731" w:type="pct"/>
            <w:tcBorders>
              <w:top w:val="nil"/>
              <w:left w:val="nil"/>
              <w:bottom w:val="single" w:sz="4" w:space="0" w:color="auto"/>
              <w:right w:val="nil"/>
            </w:tcBorders>
          </w:tcPr>
          <w:p w:rsidR="0053136D" w:rsidRPr="003B4F77" w:rsidRDefault="0053136D" w:rsidP="003B4F77">
            <w:pPr>
              <w:rPr>
                <w:rFonts w:ascii="Book Antiqua" w:hAnsi="Book Antiqua"/>
                <w:b/>
                <w:sz w:val="20"/>
                <w:szCs w:val="20"/>
              </w:rPr>
            </w:pPr>
            <w:r w:rsidRPr="003B4F77">
              <w:rPr>
                <w:rFonts w:ascii="Book Antiqua" w:hAnsi="Book Antiqua"/>
                <w:b/>
                <w:sz w:val="20"/>
                <w:szCs w:val="20"/>
              </w:rPr>
              <w:t>Metabolism</w:t>
            </w:r>
          </w:p>
        </w:tc>
        <w:tc>
          <w:tcPr>
            <w:tcW w:w="995" w:type="pct"/>
            <w:gridSpan w:val="2"/>
            <w:tcBorders>
              <w:top w:val="nil"/>
              <w:left w:val="nil"/>
              <w:bottom w:val="single" w:sz="4" w:space="0" w:color="auto"/>
              <w:right w:val="nil"/>
            </w:tcBorders>
          </w:tcPr>
          <w:p w:rsidR="0053136D" w:rsidRPr="003B4F77" w:rsidRDefault="0053136D" w:rsidP="003B4F77">
            <w:pPr>
              <w:rPr>
                <w:rFonts w:ascii="Book Antiqua" w:hAnsi="Book Antiqua"/>
                <w:sz w:val="20"/>
                <w:szCs w:val="20"/>
              </w:rPr>
            </w:pPr>
          </w:p>
        </w:tc>
        <w:tc>
          <w:tcPr>
            <w:tcW w:w="1138" w:type="pct"/>
            <w:gridSpan w:val="2"/>
            <w:tcBorders>
              <w:top w:val="nil"/>
              <w:left w:val="nil"/>
              <w:bottom w:val="single" w:sz="4" w:space="0" w:color="auto"/>
              <w:right w:val="nil"/>
            </w:tcBorders>
          </w:tcPr>
          <w:p w:rsidR="0053136D" w:rsidRPr="003B4F77" w:rsidRDefault="0053136D" w:rsidP="003B4F77">
            <w:pPr>
              <w:rPr>
                <w:rFonts w:ascii="Book Antiqua" w:hAnsi="Book Antiqua"/>
                <w:sz w:val="20"/>
                <w:szCs w:val="20"/>
              </w:rPr>
            </w:pPr>
          </w:p>
        </w:tc>
        <w:tc>
          <w:tcPr>
            <w:tcW w:w="1136" w:type="pct"/>
            <w:tcBorders>
              <w:top w:val="nil"/>
              <w:left w:val="nil"/>
              <w:bottom w:val="single" w:sz="4" w:space="0" w:color="auto"/>
              <w:right w:val="nil"/>
            </w:tcBorders>
          </w:tcPr>
          <w:p w:rsidR="0053136D" w:rsidRPr="003B4F77" w:rsidRDefault="0053136D" w:rsidP="003B4F77">
            <w:pPr>
              <w:rPr>
                <w:rFonts w:ascii="Book Antiqua" w:hAnsi="Book Antiqua"/>
                <w:sz w:val="20"/>
                <w:szCs w:val="20"/>
              </w:rPr>
            </w:pPr>
          </w:p>
        </w:tc>
      </w:tr>
      <w:tr w:rsidR="0053136D" w:rsidRPr="003B4F77" w:rsidTr="003B4F77">
        <w:trPr>
          <w:trHeight w:val="235"/>
          <w:jc w:val="center"/>
        </w:trPr>
        <w:tc>
          <w:tcPr>
            <w:tcW w:w="1731" w:type="pct"/>
            <w:tcBorders>
              <w:top w:val="single" w:sz="4" w:space="0" w:color="auto"/>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rPr>
              <w:t>VO</w:t>
            </w:r>
            <w:r w:rsidRPr="003B4F77">
              <w:rPr>
                <w:rFonts w:ascii="Book Antiqua" w:hAnsi="Book Antiqua"/>
                <w:sz w:val="20"/>
                <w:vertAlign w:val="subscript"/>
              </w:rPr>
              <w:t>2</w:t>
            </w:r>
            <w:r w:rsidRPr="003B4F77">
              <w:rPr>
                <w:rFonts w:ascii="Book Antiqua" w:hAnsi="Book Antiqua"/>
                <w:sz w:val="20"/>
              </w:rPr>
              <w:t xml:space="preserve"> (ml/kg/min)</w:t>
            </w:r>
          </w:p>
        </w:tc>
        <w:tc>
          <w:tcPr>
            <w:tcW w:w="995" w:type="pct"/>
            <w:gridSpan w:val="2"/>
            <w:tcBorders>
              <w:top w:val="single" w:sz="4" w:space="0" w:color="auto"/>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rPr>
              <w:t xml:space="preserve">2.94 </w:t>
            </w:r>
            <w:r w:rsidRPr="003B4F77">
              <w:rPr>
                <w:rFonts w:ascii="Book Antiqua" w:hAnsi="Book Antiqua"/>
                <w:color w:val="222222"/>
                <w:sz w:val="20"/>
                <w:shd w:val="clear" w:color="auto" w:fill="FFFFFF"/>
              </w:rPr>
              <w:t xml:space="preserve">± 0.39 </w:t>
            </w:r>
          </w:p>
        </w:tc>
        <w:tc>
          <w:tcPr>
            <w:tcW w:w="1138" w:type="pct"/>
            <w:gridSpan w:val="2"/>
            <w:tcBorders>
              <w:top w:val="single" w:sz="4" w:space="0" w:color="auto"/>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rPr>
              <w:t xml:space="preserve">2.87 </w:t>
            </w:r>
            <w:r w:rsidRPr="003B4F77">
              <w:rPr>
                <w:rFonts w:ascii="Book Antiqua" w:hAnsi="Book Antiqua"/>
                <w:color w:val="222222"/>
                <w:sz w:val="20"/>
                <w:shd w:val="clear" w:color="auto" w:fill="FFFFFF"/>
              </w:rPr>
              <w:t xml:space="preserve">± 0.77 </w:t>
            </w:r>
          </w:p>
        </w:tc>
        <w:tc>
          <w:tcPr>
            <w:tcW w:w="1136" w:type="pct"/>
            <w:tcBorders>
              <w:top w:val="single" w:sz="4" w:space="0" w:color="auto"/>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rPr>
              <w:t>0.758</w:t>
            </w:r>
          </w:p>
        </w:tc>
      </w:tr>
      <w:tr w:rsidR="0053136D" w:rsidRPr="003B4F77" w:rsidTr="003B4F77">
        <w:trPr>
          <w:trHeight w:val="235"/>
          <w:jc w:val="center"/>
        </w:trPr>
        <w:tc>
          <w:tcPr>
            <w:tcW w:w="1731"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rPr>
              <w:t>REE (kcal/day)</w:t>
            </w:r>
          </w:p>
        </w:tc>
        <w:tc>
          <w:tcPr>
            <w:tcW w:w="995" w:type="pct"/>
            <w:gridSpan w:val="2"/>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rPr>
              <w:t xml:space="preserve">1381 </w:t>
            </w:r>
            <w:r w:rsidRPr="003B4F77">
              <w:rPr>
                <w:rFonts w:ascii="Book Antiqua" w:hAnsi="Book Antiqua"/>
                <w:color w:val="222222"/>
                <w:sz w:val="20"/>
                <w:shd w:val="clear" w:color="auto" w:fill="FFFFFF"/>
              </w:rPr>
              <w:t xml:space="preserve">± 191 </w:t>
            </w:r>
          </w:p>
        </w:tc>
        <w:tc>
          <w:tcPr>
            <w:tcW w:w="1138" w:type="pct"/>
            <w:gridSpan w:val="2"/>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rPr>
              <w:t xml:space="preserve">1270 </w:t>
            </w:r>
            <w:r w:rsidRPr="003B4F77">
              <w:rPr>
                <w:rFonts w:ascii="Book Antiqua" w:hAnsi="Book Antiqua"/>
                <w:color w:val="222222"/>
                <w:sz w:val="20"/>
                <w:shd w:val="clear" w:color="auto" w:fill="FFFFFF"/>
              </w:rPr>
              <w:t xml:space="preserve">± 184 </w:t>
            </w:r>
          </w:p>
        </w:tc>
        <w:tc>
          <w:tcPr>
            <w:tcW w:w="1136" w:type="pct"/>
            <w:tcBorders>
              <w:top w:val="nil"/>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sz w:val="20"/>
              </w:rPr>
              <w:t>0.099</w:t>
            </w:r>
          </w:p>
        </w:tc>
      </w:tr>
      <w:tr w:rsidR="0053136D" w:rsidRPr="003B4F77" w:rsidTr="003B4F77">
        <w:trPr>
          <w:trHeight w:val="235"/>
          <w:jc w:val="center"/>
        </w:trPr>
        <w:tc>
          <w:tcPr>
            <w:tcW w:w="1731"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REE adjusted for </w:t>
            </w:r>
            <w:r w:rsidR="0097755E" w:rsidRPr="003B4F77">
              <w:rPr>
                <w:rFonts w:ascii="Book Antiqua" w:hAnsi="Book Antiqua"/>
                <w:sz w:val="20"/>
              </w:rPr>
              <w:t>LST (</w:t>
            </w:r>
            <w:r w:rsidRPr="003B4F77">
              <w:rPr>
                <w:rFonts w:ascii="Book Antiqua" w:hAnsi="Book Antiqua"/>
                <w:sz w:val="20"/>
              </w:rPr>
              <w:t>kcal/day/kg)</w:t>
            </w:r>
          </w:p>
        </w:tc>
        <w:tc>
          <w:tcPr>
            <w:tcW w:w="995" w:type="pct"/>
            <w:gridSpan w:val="2"/>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36.1 </w:t>
            </w:r>
            <w:r w:rsidRPr="003B4F77">
              <w:rPr>
                <w:rFonts w:ascii="Book Antiqua" w:hAnsi="Book Antiqua"/>
                <w:color w:val="222222"/>
                <w:sz w:val="20"/>
                <w:shd w:val="clear" w:color="auto" w:fill="FFFFFF"/>
              </w:rPr>
              <w:t xml:space="preserve">± 2.22 </w:t>
            </w:r>
          </w:p>
        </w:tc>
        <w:tc>
          <w:tcPr>
            <w:tcW w:w="1138" w:type="pct"/>
            <w:gridSpan w:val="2"/>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33.0 </w:t>
            </w:r>
            <w:r w:rsidRPr="003B4F77">
              <w:rPr>
                <w:rFonts w:ascii="Book Antiqua" w:hAnsi="Book Antiqua"/>
                <w:color w:val="222222"/>
                <w:sz w:val="20"/>
                <w:shd w:val="clear" w:color="auto" w:fill="FFFFFF"/>
              </w:rPr>
              <w:t xml:space="preserve">± 4.3 </w:t>
            </w:r>
          </w:p>
        </w:tc>
        <w:tc>
          <w:tcPr>
            <w:tcW w:w="1136" w:type="pct"/>
            <w:tcBorders>
              <w:top w:val="nil"/>
              <w:left w:val="nil"/>
              <w:bottom w:val="nil"/>
              <w:right w:val="nil"/>
            </w:tcBorders>
          </w:tcPr>
          <w:p w:rsidR="0053136D" w:rsidRPr="003B4F77" w:rsidRDefault="0053136D" w:rsidP="003B4F77">
            <w:pPr>
              <w:rPr>
                <w:rFonts w:ascii="Book Antiqua" w:hAnsi="Book Antiqua"/>
                <w:sz w:val="20"/>
              </w:rPr>
            </w:pPr>
            <w:r w:rsidRPr="003B4F77">
              <w:rPr>
                <w:rFonts w:ascii="Book Antiqua" w:hAnsi="Book Antiqua"/>
                <w:sz w:val="20"/>
              </w:rPr>
              <w:t>0.015</w:t>
            </w:r>
          </w:p>
        </w:tc>
      </w:tr>
      <w:tr w:rsidR="0053136D" w:rsidRPr="003B4F77" w:rsidTr="003B4F77">
        <w:trPr>
          <w:trHeight w:val="235"/>
          <w:jc w:val="center"/>
        </w:trPr>
        <w:tc>
          <w:tcPr>
            <w:tcW w:w="1731" w:type="pct"/>
            <w:tcBorders>
              <w:top w:val="nil"/>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rPr>
              <w:t xml:space="preserve">Respiratory Quotient </w:t>
            </w:r>
          </w:p>
        </w:tc>
        <w:tc>
          <w:tcPr>
            <w:tcW w:w="995" w:type="pct"/>
            <w:gridSpan w:val="2"/>
            <w:tcBorders>
              <w:top w:val="nil"/>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rPr>
              <w:t xml:space="preserve">0.73 </w:t>
            </w:r>
            <w:r w:rsidRPr="003B4F77">
              <w:rPr>
                <w:rFonts w:ascii="Book Antiqua" w:hAnsi="Book Antiqua"/>
                <w:color w:val="222222"/>
                <w:sz w:val="20"/>
                <w:shd w:val="clear" w:color="auto" w:fill="FFFFFF"/>
              </w:rPr>
              <w:t xml:space="preserve">± 0.04 </w:t>
            </w:r>
          </w:p>
        </w:tc>
        <w:tc>
          <w:tcPr>
            <w:tcW w:w="1138" w:type="pct"/>
            <w:gridSpan w:val="2"/>
            <w:tcBorders>
              <w:top w:val="nil"/>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rPr>
              <w:t xml:space="preserve">0.75 </w:t>
            </w:r>
            <w:r w:rsidRPr="003B4F77">
              <w:rPr>
                <w:rFonts w:ascii="Book Antiqua" w:hAnsi="Book Antiqua"/>
                <w:color w:val="222222"/>
                <w:sz w:val="20"/>
                <w:shd w:val="clear" w:color="auto" w:fill="FFFFFF"/>
              </w:rPr>
              <w:t xml:space="preserve">± 0.05 </w:t>
            </w:r>
          </w:p>
        </w:tc>
        <w:tc>
          <w:tcPr>
            <w:tcW w:w="1136" w:type="pct"/>
            <w:tcBorders>
              <w:top w:val="nil"/>
              <w:left w:val="nil"/>
              <w:bottom w:val="single" w:sz="4" w:space="0" w:color="auto"/>
              <w:right w:val="nil"/>
            </w:tcBorders>
          </w:tcPr>
          <w:p w:rsidR="0053136D" w:rsidRPr="003B4F77" w:rsidRDefault="0053136D" w:rsidP="003B4F77">
            <w:pPr>
              <w:rPr>
                <w:rFonts w:ascii="Book Antiqua" w:hAnsi="Book Antiqua"/>
                <w:sz w:val="20"/>
                <w:szCs w:val="20"/>
              </w:rPr>
            </w:pPr>
            <w:r w:rsidRPr="003B4F77">
              <w:rPr>
                <w:rFonts w:ascii="Book Antiqua" w:hAnsi="Book Antiqua"/>
                <w:sz w:val="20"/>
              </w:rPr>
              <w:t>0.116</w:t>
            </w:r>
          </w:p>
        </w:tc>
      </w:tr>
      <w:tr w:rsidR="0053136D" w:rsidRPr="003B4F77" w:rsidTr="003B4F77">
        <w:trPr>
          <w:trHeight w:val="235"/>
          <w:jc w:val="center"/>
        </w:trPr>
        <w:tc>
          <w:tcPr>
            <w:tcW w:w="1731"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b/>
                <w:sz w:val="20"/>
                <w:szCs w:val="20"/>
              </w:rPr>
              <w:t>Inflammation</w:t>
            </w:r>
          </w:p>
        </w:tc>
        <w:tc>
          <w:tcPr>
            <w:tcW w:w="995" w:type="pct"/>
            <w:gridSpan w:val="2"/>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rPr>
            </w:pPr>
          </w:p>
        </w:tc>
        <w:tc>
          <w:tcPr>
            <w:tcW w:w="1138" w:type="pct"/>
            <w:gridSpan w:val="2"/>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rPr>
            </w:pPr>
          </w:p>
        </w:tc>
        <w:tc>
          <w:tcPr>
            <w:tcW w:w="1136" w:type="pct"/>
            <w:tcBorders>
              <w:top w:val="single" w:sz="4" w:space="0" w:color="auto"/>
              <w:left w:val="nil"/>
              <w:bottom w:val="single" w:sz="4" w:space="0" w:color="auto"/>
              <w:right w:val="nil"/>
            </w:tcBorders>
          </w:tcPr>
          <w:p w:rsidR="0053136D" w:rsidRPr="003B4F77" w:rsidRDefault="0053136D" w:rsidP="003B4F77">
            <w:pPr>
              <w:rPr>
                <w:rFonts w:ascii="Book Antiqua" w:hAnsi="Book Antiqua"/>
                <w:sz w:val="20"/>
              </w:rPr>
            </w:pPr>
          </w:p>
        </w:tc>
      </w:tr>
      <w:tr w:rsidR="0053136D" w:rsidRPr="003B4F77" w:rsidTr="003B4F77">
        <w:trPr>
          <w:trHeight w:val="235"/>
          <w:jc w:val="center"/>
        </w:trPr>
        <w:tc>
          <w:tcPr>
            <w:tcW w:w="1731" w:type="pct"/>
            <w:tcBorders>
              <w:top w:val="nil"/>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CRP (mg/L)</w:t>
            </w:r>
            <w:r w:rsidRPr="003B4F77">
              <w:rPr>
                <w:rFonts w:ascii="Book Antiqua" w:hAnsi="Book Antiqua"/>
                <w:sz w:val="20"/>
                <w:szCs w:val="20"/>
                <w:vertAlign w:val="superscript"/>
              </w:rPr>
              <w:t xml:space="preserve"> ‡</w:t>
            </w:r>
          </w:p>
        </w:tc>
        <w:tc>
          <w:tcPr>
            <w:tcW w:w="995" w:type="pct"/>
            <w:gridSpan w:val="2"/>
            <w:tcBorders>
              <w:top w:val="nil"/>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3.74 </w:t>
            </w:r>
            <w:r w:rsidRPr="003B4F77">
              <w:rPr>
                <w:rFonts w:ascii="Book Antiqua" w:hAnsi="Book Antiqua"/>
                <w:color w:val="222222"/>
                <w:sz w:val="20"/>
                <w:shd w:val="clear" w:color="auto" w:fill="FFFFFF"/>
              </w:rPr>
              <w:t>± 1.45</w:t>
            </w:r>
          </w:p>
        </w:tc>
        <w:tc>
          <w:tcPr>
            <w:tcW w:w="1138" w:type="pct"/>
            <w:gridSpan w:val="2"/>
            <w:tcBorders>
              <w:top w:val="nil"/>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 xml:space="preserve">3.34 </w:t>
            </w:r>
            <w:r w:rsidRPr="003B4F77">
              <w:rPr>
                <w:rFonts w:ascii="Book Antiqua" w:hAnsi="Book Antiqua"/>
                <w:color w:val="222222"/>
                <w:sz w:val="20"/>
                <w:shd w:val="clear" w:color="auto" w:fill="FFFFFF"/>
              </w:rPr>
              <w:t xml:space="preserve">± 1.64 </w:t>
            </w:r>
          </w:p>
        </w:tc>
        <w:tc>
          <w:tcPr>
            <w:tcW w:w="1136" w:type="pct"/>
            <w:tcBorders>
              <w:top w:val="nil"/>
              <w:left w:val="nil"/>
              <w:bottom w:val="single" w:sz="4" w:space="0" w:color="auto"/>
              <w:right w:val="nil"/>
            </w:tcBorders>
          </w:tcPr>
          <w:p w:rsidR="0053136D" w:rsidRPr="003B4F77" w:rsidRDefault="0053136D" w:rsidP="003B4F77">
            <w:pPr>
              <w:rPr>
                <w:rFonts w:ascii="Book Antiqua" w:hAnsi="Book Antiqua"/>
                <w:sz w:val="20"/>
              </w:rPr>
            </w:pPr>
            <w:r w:rsidRPr="003B4F77">
              <w:rPr>
                <w:rFonts w:ascii="Book Antiqua" w:hAnsi="Book Antiqua"/>
                <w:sz w:val="20"/>
              </w:rPr>
              <w:t>0.263</w:t>
            </w:r>
          </w:p>
        </w:tc>
      </w:tr>
      <w:tr w:rsidR="0053136D" w:rsidRPr="003B4F77" w:rsidTr="003B4F77">
        <w:trPr>
          <w:trHeight w:val="235"/>
          <w:jc w:val="center"/>
        </w:trPr>
        <w:tc>
          <w:tcPr>
            <w:tcW w:w="5000" w:type="pct"/>
            <w:gridSpan w:val="6"/>
            <w:tcBorders>
              <w:top w:val="single" w:sz="4" w:space="0" w:color="auto"/>
              <w:left w:val="nil"/>
              <w:bottom w:val="nil"/>
              <w:right w:val="nil"/>
            </w:tcBorders>
          </w:tcPr>
          <w:p w:rsidR="0053136D" w:rsidRPr="003B4F77" w:rsidRDefault="0053136D" w:rsidP="003B4F77">
            <w:pPr>
              <w:rPr>
                <w:rFonts w:ascii="Book Antiqua" w:hAnsi="Book Antiqua"/>
                <w:sz w:val="20"/>
                <w:szCs w:val="20"/>
              </w:rPr>
            </w:pPr>
            <w:r w:rsidRPr="003B4F77">
              <w:rPr>
                <w:rFonts w:ascii="Book Antiqua" w:hAnsi="Book Antiqua"/>
                <w:bCs/>
                <w:sz w:val="20"/>
                <w:szCs w:val="20"/>
              </w:rPr>
              <w:t xml:space="preserve">Values are mean </w:t>
            </w:r>
            <w:r w:rsidRPr="003B4F77">
              <w:rPr>
                <w:rFonts w:ascii="Book Antiqua" w:eastAsia="MS PGothic" w:hAnsi="Book Antiqua"/>
                <w:sz w:val="20"/>
                <w:szCs w:val="20"/>
              </w:rPr>
              <w:t xml:space="preserve">± </w:t>
            </w:r>
            <w:r w:rsidRPr="003B4F77">
              <w:rPr>
                <w:rFonts w:ascii="Book Antiqua" w:hAnsi="Book Antiqua"/>
                <w:bCs/>
                <w:sz w:val="20"/>
                <w:szCs w:val="20"/>
              </w:rPr>
              <w:t>SD; BCS = breast cancer survivors; VO</w:t>
            </w:r>
            <w:r w:rsidRPr="003B4F77">
              <w:rPr>
                <w:rFonts w:ascii="Book Antiqua" w:hAnsi="Book Antiqua"/>
                <w:bCs/>
                <w:sz w:val="20"/>
                <w:szCs w:val="20"/>
                <w:vertAlign w:val="subscript"/>
              </w:rPr>
              <w:t>2</w:t>
            </w:r>
            <w:r w:rsidRPr="003B4F77">
              <w:rPr>
                <w:rFonts w:ascii="Book Antiqua" w:hAnsi="Book Antiqua"/>
                <w:bCs/>
                <w:sz w:val="20"/>
                <w:szCs w:val="20"/>
              </w:rPr>
              <w:t xml:space="preserve"> = oxygen consumption; REE = resting energy expenditure; LST = lean soft tissue; CRP = C-reactive protein; </w:t>
            </w:r>
            <w:r w:rsidRPr="003B4F77">
              <w:rPr>
                <w:rFonts w:ascii="Book Antiqua" w:hAnsi="Book Antiqua"/>
                <w:sz w:val="20"/>
                <w:szCs w:val="20"/>
                <w:vertAlign w:val="superscript"/>
              </w:rPr>
              <w:t>‡</w:t>
            </w:r>
            <w:r w:rsidRPr="003B4F77">
              <w:rPr>
                <w:rFonts w:ascii="Book Antiqua" w:hAnsi="Book Antiqua"/>
                <w:bCs/>
                <w:sz w:val="20"/>
                <w:szCs w:val="20"/>
              </w:rPr>
              <w:t xml:space="preserve"> n = 13 for BCS and n = 9 for controls. *</w:t>
            </w:r>
            <w:r w:rsidRPr="003B4F77">
              <w:rPr>
                <w:rFonts w:ascii="Book Antiqua" w:hAnsi="Book Antiqua"/>
                <w:bCs/>
                <w:i/>
                <w:sz w:val="20"/>
                <w:szCs w:val="20"/>
              </w:rPr>
              <w:t>p</w:t>
            </w:r>
            <w:r w:rsidRPr="003B4F77">
              <w:rPr>
                <w:rFonts w:ascii="Book Antiqua" w:hAnsi="Book Antiqua"/>
                <w:bCs/>
                <w:sz w:val="20"/>
                <w:szCs w:val="20"/>
              </w:rPr>
              <w:t>&lt; 0.05, significant difference between BCS and controls</w:t>
            </w:r>
            <w:r w:rsidRPr="003B4F77">
              <w:rPr>
                <w:rFonts w:ascii="Book Antiqua" w:hAnsi="Book Antiqua"/>
                <w:b/>
                <w:bCs/>
                <w:sz w:val="20"/>
                <w:szCs w:val="20"/>
              </w:rPr>
              <w:t>.</w:t>
            </w:r>
          </w:p>
        </w:tc>
      </w:tr>
    </w:tbl>
    <w:p w:rsidR="0053136D" w:rsidRPr="003B4F77" w:rsidRDefault="0053136D" w:rsidP="0053136D">
      <w:pPr>
        <w:tabs>
          <w:tab w:val="left" w:pos="3519"/>
        </w:tabs>
        <w:jc w:val="both"/>
        <w:rPr>
          <w:rFonts w:ascii="Book Antiqua" w:eastAsia="Book Antiqua" w:hAnsi="Book Antiqua" w:cs="Book Antiqua"/>
        </w:rPr>
      </w:pPr>
    </w:p>
    <w:p w:rsidR="0053136D" w:rsidRPr="003B4F77" w:rsidRDefault="0053136D" w:rsidP="0053136D">
      <w:pPr>
        <w:jc w:val="both"/>
        <w:rPr>
          <w:rFonts w:ascii="Book Antiqua" w:eastAsia="Book Antiqua" w:hAnsi="Book Antiqua" w:cs="Book Antiqua"/>
          <w:b/>
        </w:rPr>
      </w:pPr>
      <w:r w:rsidRPr="003B4F77">
        <w:rPr>
          <w:rFonts w:ascii="Book Antiqua" w:eastAsia="Book Antiqua" w:hAnsi="Book Antiqua" w:cs="Book Antiqua"/>
        </w:rPr>
        <w:t>Table 4 also presents the serum levels of the inflammatory marker CRP. Three participants from each group had unsuccessful blood draws and thus were not able to have CRP measured. In addition, one BCS and four controls had CVs greater than 20% and were thus excluded from analysis. Therefore, thirteen BCS and nine controls had CRP levels analyzed. There were no significant differences in CRP levels between BCS and controls. However, more BCS (n=9) did have CRP levels above 3.0 mg/L than controls (n=3).</w:t>
      </w:r>
    </w:p>
    <w:p w:rsidR="00040EB5" w:rsidRPr="003B4F77" w:rsidRDefault="00040EB5" w:rsidP="00223C0D">
      <w:pPr>
        <w:jc w:val="both"/>
        <w:rPr>
          <w:rFonts w:ascii="Book Antiqua" w:hAnsi="Book Antiqua"/>
        </w:rPr>
      </w:pPr>
    </w:p>
    <w:p w:rsidR="00990B7F" w:rsidRDefault="00990B7F" w:rsidP="00223C0D">
      <w:pPr>
        <w:jc w:val="both"/>
        <w:rPr>
          <w:rFonts w:ascii="Book Antiqua" w:hAnsi="Book Antiqua"/>
          <w:b/>
          <w:sz w:val="20"/>
          <w:szCs w:val="20"/>
        </w:rPr>
      </w:pPr>
    </w:p>
    <w:p w:rsidR="005A53CC" w:rsidRPr="003B4F77" w:rsidRDefault="005A53CC" w:rsidP="00223C0D">
      <w:pPr>
        <w:jc w:val="both"/>
        <w:rPr>
          <w:rFonts w:ascii="Book Antiqua" w:hAnsi="Book Antiqua"/>
          <w:b/>
          <w:sz w:val="20"/>
          <w:szCs w:val="20"/>
        </w:rPr>
      </w:pPr>
    </w:p>
    <w:p w:rsidR="00990B7F" w:rsidRPr="003B4F77" w:rsidRDefault="00990B7F" w:rsidP="00223C0D">
      <w:pPr>
        <w:jc w:val="both"/>
        <w:rPr>
          <w:rFonts w:ascii="Book Antiqua" w:hAnsi="Book Antiqua"/>
          <w:b/>
          <w:sz w:val="20"/>
          <w:szCs w:val="20"/>
        </w:rPr>
      </w:pPr>
    </w:p>
    <w:p w:rsidR="00855F6B" w:rsidRPr="003B4F77" w:rsidRDefault="00855F6B" w:rsidP="00223C0D">
      <w:pPr>
        <w:jc w:val="both"/>
        <w:rPr>
          <w:rFonts w:ascii="Book Antiqua" w:hAnsi="Book Antiqua"/>
          <w:b/>
          <w:sz w:val="20"/>
          <w:szCs w:val="20"/>
        </w:rPr>
      </w:pPr>
    </w:p>
    <w:p w:rsidR="00E676F3" w:rsidRPr="003B4F77" w:rsidRDefault="00E676F3" w:rsidP="00DA65C1">
      <w:pPr>
        <w:jc w:val="both"/>
        <w:rPr>
          <w:rFonts w:ascii="Book Antiqua" w:hAnsi="Book Antiqua"/>
        </w:rPr>
      </w:pPr>
      <w:r w:rsidRPr="003B4F77">
        <w:rPr>
          <w:rFonts w:ascii="Book Antiqua" w:hAnsi="Book Antiqua"/>
          <w:b/>
        </w:rPr>
        <w:lastRenderedPageBreak/>
        <w:t>DISCUSSION</w:t>
      </w:r>
    </w:p>
    <w:p w:rsidR="00E676F3" w:rsidRPr="003B4F77" w:rsidRDefault="00E676F3" w:rsidP="00DA65C1">
      <w:pPr>
        <w:jc w:val="both"/>
        <w:rPr>
          <w:rFonts w:ascii="Book Antiqua" w:hAnsi="Book Antiqua"/>
        </w:rPr>
      </w:pPr>
    </w:p>
    <w:p w:rsidR="001C6FA6" w:rsidRPr="003B4F77" w:rsidRDefault="001C6FA6" w:rsidP="001C6FA6">
      <w:pPr>
        <w:jc w:val="both"/>
        <w:rPr>
          <w:rFonts w:ascii="Book Antiqua" w:eastAsia="Book Antiqua" w:hAnsi="Book Antiqua" w:cs="Book Antiqua"/>
        </w:rPr>
      </w:pPr>
      <w:r w:rsidRPr="003B4F77">
        <w:rPr>
          <w:rFonts w:ascii="Book Antiqua" w:eastAsia="Book Antiqua" w:hAnsi="Book Antiqua" w:cs="Book Antiqua"/>
        </w:rPr>
        <w:t>The main findings of our present study are that BCS that are 75.7±17.8 months (6.31±1.5years) after completion of primary treatment have greater relative REE compared to controls. However, the BCS in our study had similar body composition, absolute REE, RQ, and circulating CRP levels. Despite BCS having menopause at a significantly younger age, the BMD at several skeletal sites and the prevalence of osteoporosis, sarcopenia, and osteosarcopenic obesity also did not differ from controls.</w:t>
      </w:r>
    </w:p>
    <w:p w:rsidR="001C6FA6" w:rsidRPr="003B4F77" w:rsidRDefault="001C6FA6" w:rsidP="001C6FA6">
      <w:pPr>
        <w:autoSpaceDE w:val="0"/>
        <w:autoSpaceDN w:val="0"/>
        <w:adjustRightInd w:val="0"/>
        <w:jc w:val="both"/>
        <w:rPr>
          <w:rFonts w:ascii="Book Antiqua" w:eastAsia="Book Antiqua" w:hAnsi="Book Antiqua" w:cs="Book Antiqua"/>
        </w:rPr>
      </w:pPr>
    </w:p>
    <w:p w:rsidR="001C6FA6" w:rsidRPr="003B4F77" w:rsidRDefault="001C6FA6" w:rsidP="001C6FA6">
      <w:pPr>
        <w:autoSpaceDE w:val="0"/>
        <w:autoSpaceDN w:val="0"/>
        <w:adjustRightInd w:val="0"/>
        <w:jc w:val="both"/>
        <w:rPr>
          <w:rFonts w:ascii="Book Antiqua" w:hAnsi="Book Antiqua" w:cs="Garamond-Light"/>
          <w:szCs w:val="20"/>
        </w:rPr>
      </w:pPr>
      <w:r w:rsidRPr="003B4F77">
        <w:rPr>
          <w:rFonts w:ascii="Book Antiqua" w:eastAsia="Book Antiqua" w:hAnsi="Book Antiqua" w:cs="Book Antiqua"/>
        </w:rPr>
        <w:t xml:space="preserve">Our findings of similar body composition measures (LST, fat mass, ASMI, total body fat and BMD) between BCS and controls is in agreement to previous studies investigating BCS that are on average more than 5 years posttreatment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{"citationItems":[{"id":"ITEM-1","itemData":{"DOI":"10.1111/ecc.12824","ISSN":"13652354","abstract":"© 2018 John Wiley  &amp;  Sons Ltd. While prognosis for breast cancer in women has improved, adverse side effects of treatments may negatively affect body composition and bone mineral density (BMD). This study assessed body composition and BMD changes in breast cancer survivors (BCS) (n = 10, 57.9 ± 5.7 years) and age-matched women (non-cancer, n = 10, 56.5 ± 4.3 years) over a 12- to 15-month period via dual-energy X-ray absorptiometry. No differences were observed between groups at baseline except forearm BMD values were lower in BCS (BCS: 0.462 ± 0.070 g/cm 2 ; Control: 0.539 ± 0.052 g/cm 2 , p = .012). Body fat increased in both groups compared to baseline (BCS: 38.3-39.6 kg, p = .013; Control: 38.2-39.5 kg, p = .023) at the follow-up. Significant decreases in BMD at the lumbar spine, femoral neck, total femur and ulna were observed in both groups. Breast cancer survivors had a greater decrease in left femoral neck BMD. While BCS demonstrated lower baseline forearm BMD values and a greater decrease in left femoral neck BMD, both groups showed an increase in body fat and decrease in forearm BMD. These findings support the implementation of interventions to improve body composition and BMD in both BCS and women without cancer.","author":[{"dropping-particle":"","family":"Artese","given":"A.L.","non-dropping-particle":"","parse-names":false,"suffix":""},{"dropping-particle":"","family":"Simonavice","given":"E.","non-dropping-particle":"","parse-names":false,"suffix":""},{"dropping-particle":"","family":"Madzima","given":"T.A.","non-dropping-particle":"","parse-names":false,"suffix":""},{"dropping-particle":"","family":"Kim","given":"J.-S.","non-dropping-particle":"","parse-names":false,"suffix":""},{"dropping-particle":"","family":"Arjmandi","given":"B.H.","non-dropping-particle":"","parse-names":false,"suffix":""},{"dropping-particle":"","family":"Ilich","given":"J.Z.","non-dropping-particle":"","parse-names":false,"suffix":""},{"dropping-particle":"","family":"Panton","given":"L.B.","non-dropping-particle":"","parse-names":false,"suffix":""}],"container-title":"European Journal of Cancer Care","id":"ITEM-1","issued":{"date-parts":[["2018"]]},"title":"Body composition and bone mineral density in breast cancer survivors and non-cancer controls: A 12- to 15-month follow-up","type":"article-journal"},"uris":["http://www.mendeley.com/documents/?uuid=c579213a-05ed-3f6f-8151-65a066306571"]},{"id":"ITEM-2","itemData":{"author":[{"dropping-particle":"","family":"Simonavice, E.; Liu, P.-Y.; Ilich, J.K.; Kim, J.-S.; Panton","given":"L.","non-dropping-particle":"","parse-names":false,"suffix":""}],"container-title":"International journal of body composition research","id":"ITEM-2","issue":"2","issued":{"date-parts":[["2011"]]},"page":"57-64","title":"Body composition, muscular strength, and physical function in breast cancer survivors","type":"article-journal","volume":"9"},"uris":["http://www.mendeley.com/documents/?uuid=88761f96-8959-4a6f-8a65-ef0a0936e26c"]}],"mendeley":{"formattedCitation":"(3,44)","plainTextFormattedCitation":"(3,44)","previouslyFormattedCitation":"(3,43)"},"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(3,44)</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w:t>
      </w:r>
      <w:r w:rsidRPr="003B4F77">
        <w:rPr>
          <w:rFonts w:ascii="Book Antiqua" w:hAnsi="Book Antiqua" w:cs="Garamond-Light"/>
        </w:rPr>
        <w:t xml:space="preserve">In contrast to our findings, Twiss et al. </w:t>
      </w:r>
      <w:r w:rsidRPr="003B4F77">
        <w:rPr>
          <w:rFonts w:ascii="Book Antiqua" w:hAnsi="Book Antiqua" w:cs="Garamond-Light"/>
        </w:rPr>
        <w:fldChar w:fldCharType="begin" w:fldLock="1"/>
      </w:r>
      <w:r w:rsidRPr="003B4F77">
        <w:rPr>
          <w:rFonts w:ascii="Book Antiqua" w:hAnsi="Book Antiqua" w:cs="Garamond-Light"/>
        </w:rPr>
        <w:instrText>ADDIN CSL_CITATION {"citationItems":[{"id":"ITEM-1","itemData":{"DOI":"10.1111/j.1745-7599.2006.00165.x","ISSN":"1041-2972","PMID":"16999712","abstract":"PURPOSE To describe the baseline healthy lifestyle behaviors (dietary, calcium, vitamin D, caffeine and alcohol intake, smoking history, and physical activity) of postmenopausal breast cancer survivors (BCS); and to identify any relationship of healthy lifestyle behaviors with bone mineral density (BMD) at the forearm, total hip and spine, L1-L4. DATA SOURCES Self-reported responses to a demographic and health status questionnaire, to a 3-day Diet Record, and to the 7-Day Physical Activity Questionnaire-Adapted provided data for the lifestyle behaviors. Baseline BMD (g/cm(2)) was determined with dual-energy x-ray absorptiometry (DEXA). Height, weight, and body mass index (BMI) were also measured in each of the 249 postmenopausal BCS. CONCLUSIONS There was an imbalance between consumed kilocalories and expenditure of energy. The majority of BCS were overweight or obese. They consumed less fruit and vegetable servings than recommended by the new 2005 U.S. Department of Agriculture's dietary guidelines, less dairy products, below average recommended grains and fiber, less protein and carbohydrate intake, and a slightly higher fat gram intake. Approximately, 43% did not take any supplemental calcium, with 46% taking less than 1000 mg a day. Likewise, 52.59% consumed less than 400 IU of vitamin D with both supplemental and dietary intake. This group of BCS consumed below accepted levels of caffeine and alcohol. Only 18 BCS continued to smoke. This group spent an average of 10.36 h in light (sedentary) activities on a daily basis. There were significant negative relationships with bone mass (g/cm(2)) at the total hip and daily intake of caffeine/mg and daily grams of alcohol. Weight and BMI both demonstrated a significant relationship with bone mass (g/cm(2)) at the total hip, spine L1-L4, and the forearm. IMPLICATIONS FOR PRACTICE The healthcare provider must incorporate appropriate teaching strategies, intensive counseling, and coaching, along with a support mechanism, to enable BCS to understand the importance of a healthy diet, calcium, and vitamin D supplement, and a regular strength/weight program that will be integrated into their daily lifestyle. Early DEXA screens should be part of the protocol with BCS, and there is a particular need for forearm DEXA screens to be included in the treatment protocol for BCS.","author":[{"dropping-particle":"","family":"Twiss","given":"Janice J","non-dropping-particle":"","parse-names":false,"suffix":""},{"dropping-particle":"","family":"Gross","given":"Gloria J","non-dropping-particle":"","parse-names":false,"suffix":""},{"dropping-particle":"","family":"Waltman","given":"Nancy L","non-dropping-particle":"","parse-names":false,"suffix":""},{"dropping-particle":"","family":"Ott","given":"Carol D","non-dropping-particle":"","parse-names":false,"suffix":""},{"dropping-particle":"","family":"Lindsey","given":"Ada M","non-dropping-particle":"","parse-names":false,"suffix":""}],"container-title":"Journal of the American Academy of Nurse Practitioners","id":"ITEM-1","issue":"10","issued":{"date-parts":[["2006","10"]]},"page":"471-81","title":"Health behaviors in breast cancer survivors experiencing bone loss.","type":"article-journal","volume":"18"},"uris":["http://www.mendeley.com/documents/?uuid=c1898dd8-e607-3cf6-be99-1c5cf9458c4f"]}],"mendeley":{"formattedCitation":"(47)","plainTextFormattedCitation":"(47)","previouslyFormattedCitation":"(46)"},"properties":{"noteIndex":0},"schema":"https://github.com/citation-style-language/schema/raw/master/csl-citation.json"}</w:instrText>
      </w:r>
      <w:r w:rsidRPr="003B4F77">
        <w:rPr>
          <w:rFonts w:ascii="Book Antiqua" w:hAnsi="Book Antiqua" w:cs="Garamond-Light"/>
        </w:rPr>
        <w:fldChar w:fldCharType="separate"/>
      </w:r>
      <w:r w:rsidRPr="003B4F77">
        <w:rPr>
          <w:rFonts w:ascii="Book Antiqua" w:hAnsi="Book Antiqua" w:cs="Garamond-Light"/>
          <w:noProof/>
        </w:rPr>
        <w:t>(47)</w:t>
      </w:r>
      <w:r w:rsidRPr="003B4F77">
        <w:rPr>
          <w:rFonts w:ascii="Book Antiqua" w:hAnsi="Book Antiqua" w:cs="Garamond-Light"/>
        </w:rPr>
        <w:fldChar w:fldCharType="end"/>
      </w:r>
      <w:r w:rsidRPr="003B4F77">
        <w:rPr>
          <w:rFonts w:ascii="Book Antiqua" w:hAnsi="Book Antiqua" w:cs="Garamond-Light"/>
        </w:rPr>
        <w:t xml:space="preserve"> observed that more BCS had low BMD in the lumbar spine when compared to the femur. </w:t>
      </w:r>
      <w:r w:rsidRPr="003B4F77">
        <w:rPr>
          <w:rFonts w:ascii="Book Antiqua" w:eastAsia="Book Antiqua" w:hAnsi="Book Antiqua" w:cs="Book Antiqua"/>
        </w:rPr>
        <w:t xml:space="preserve">In addition, the work from Simonavice et al.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{"citationItems":[{"id":"ITEM-1","itemData":{"author":[{"dropping-particle":"","family":"Simonavice, E.; Liu, P.-Y.; Ilich, J.K.; Kim, J.-S.; Panton","given":"L.","non-dropping-particle":"","parse-names":false,"suffix":""}],"container-title":"International journal of body composition research","id":"ITEM-1","issue":"2","issued":{"date-parts":[["2011"]]},"page":"57-64","title":"Body composition, muscular strength, and physical function in breast cancer survivors","type":"article-journal","volume":"9"},"uris":["http://www.mendeley.com/documents/?uuid=88761f96-8959-4a6f-8a65-ef0a0936e26c"]}],"mendeley":{"formattedCitation":"(44)","plainTextFormattedCitation":"(44)","previouslyFormattedCitation":"(43)"},"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(44)</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found that total forearm BMD was 11% lower in BCS when compared to controls, and the difference in forearm BMD was confirmed by a more recent study by Artese et al. (3)</w:t>
      </w:r>
      <w:r w:rsidRPr="003B4F77">
        <w:rPr>
          <w:rFonts w:ascii="Book Antiqua" w:hAnsi="Book Antiqua" w:cs="Garamond-Light"/>
          <w:sz w:val="22"/>
          <w:szCs w:val="20"/>
        </w:rPr>
        <w:t xml:space="preserve">. </w:t>
      </w:r>
      <w:r w:rsidRPr="003B4F77">
        <w:rPr>
          <w:rFonts w:ascii="Book Antiqua" w:hAnsi="Book Antiqua" w:cs="Garamond-Light"/>
          <w:szCs w:val="20"/>
        </w:rPr>
        <w:t xml:space="preserve">However, our findings of no differences in lumbar spine and femur BMD are consistent with previous findings </w:t>
      </w:r>
      <w:r w:rsidRPr="003B4F77">
        <w:rPr>
          <w:rFonts w:ascii="Book Antiqua" w:hAnsi="Book Antiqua" w:cs="Garamond-Light"/>
          <w:szCs w:val="20"/>
        </w:rPr>
        <w:fldChar w:fldCharType="begin" w:fldLock="1"/>
      </w:r>
      <w:r w:rsidRPr="003B4F77">
        <w:rPr>
          <w:rFonts w:ascii="Book Antiqua" w:hAnsi="Book Antiqua" w:cs="Garamond-Light"/>
          <w:szCs w:val="20"/>
        </w:rPr>
        <w:instrText>ADDIN CSL_CITATION {"citationItems":[{"id":"ITEM-1","itemData":{"author":[{"dropping-particle":"","family":"Simonavice, E.; Liu, P.-Y.; Ilich, J.K.; Kim, J.-S.; Panton","given":"L.","non-dropping-particle":"","parse-names":false,"suffix":""}],"container-title":"International journal of body composition research","id":"ITEM-1","issue":"2","issued":{"date-parts":[["2011"]]},"page":"57-64","title":"Body composition, muscular strength, and physical function in breast cancer survivors","type":"article-journal","volume":"9"},"uris":["http://www.mendeley.com/documents/?uuid=88761f96-8959-4a6f-8a65-ef0a0936e26c"]},{"id":"ITEM-2","itemData":{"DOI":"10.1111/ecc.12824","ISSN":"13652354","abstract":"© 2018 John Wiley  &amp;  Sons Ltd. While prognosis for breast cancer in women has improved, adverse side effects of treatments may negatively affect body composition and bone mineral density (BMD). This study assessed body composition and BMD changes in breast cancer survivors (BCS) (n = 10, 57.9 ± 5.7 years) and age-matched women (non-cancer, n = 10, 56.5 ± 4.3 years) over a 12- to 15-month period via dual-energy X-ray absorptiometry. No differences were observed between groups at baseline except forearm BMD values were lower in BCS (BCS: 0.462 ± 0.070 g/cm 2 ; Control: 0.539 ± 0.052 g/cm 2 , p = .012). Body fat increased in both groups compared to baseline (BCS: 38.3-39.6 kg, p = .013; Control: 38.2-39.5 kg, p = .023) at the follow-up. Significant decreases in BMD at the lumbar spine, femoral neck, total femur and ulna were observed in both groups. Breast cancer survivors had a greater decrease in left femoral neck BMD. While BCS demonstrated lower baseline forearm BMD values and a greater decrease in left femoral neck BMD, both groups showed an increase in body fat and decrease in forearm BMD. These findings support the implementation of interventions to improve body composition and BMD in both BCS and women without cancer.","author":[{"dropping-particle":"","family":"Artese","given":"A.L.","non-dropping-particle":"","parse-names":false,"suffix":""},{"dropping-particle":"","family":"Simonavice","given":"E.","non-dropping-particle":"","parse-names":false,"suffix":""},{"dropping-particle":"","family":"Madzima","given":"T.A.","non-dropping-particle":"","parse-names":false,"suffix":""},{"dropping-particle":"","family":"Kim","given":"J.-S.","non-dropping-particle":"","parse-names":false,"suffix":""},{"dropping-particle":"","family":"Arjmandi","given":"B.H.","non-dropping-particle":"","parse-names":false,"suffix":""},{"dropping-particle":"","family":"Ilich","given":"J.Z.","non-dropping-particle":"","parse-names":false,"suffix":""},{"dropping-particle":"","family":"Panton","given":"L.B.","non-dropping-particle":"","parse-names":false,"suffix":""}],"container-title":"European Journal of Cancer Care","id":"ITEM-2","issued":{"date-parts":[["2018"]]},"title":"Body composition and bone mineral density in breast cancer survivors and non-cancer controls: A 12- to 15-month follow-up","type":"article-journal"},"uris":["http://www.mendeley.com/documents/?uuid=c579213a-05ed-3f6f-8151-65a066306571"]},{"id":"ITEM-3","itemData":{"DOI":"10.1007/s10549-004-0804-3","ISSN":"0167-6806","PMID":"15609128","abstract":"Compared to mean values from a US database, premenopausal breast cancer survivors (BCS) had significantly higher whole body bone mineral density (BMD) compared to age and ethnicity matched referents; higher whole body BMD was present in all premenopausal BCS, including those who received chemotherapy, tamoxifen+chemotherapy, or no adjuvant therapy. Postmenopausal BCS who had received no adjuvant therapy also had higher whole body BMD compared to similarly aged women. In contrast, hip and lumbar spine BMD values in BCS were similar to those of the population-based database.","author":[{"dropping-particle":"","family":"Crandall","given":"C.","non-dropping-particle":"","parse-names":false,"suffix":""},{"dropping-particle":"","family":"Petersen","given":"L.","non-dropping-particle":"","parse-names":false,"suffix":""},{"dropping-particle":"","family":"Ganz","given":"P. A.","non-dropping-particle":"","parse-names":false,"suffix":""},{"dropping-particle":"","family":"Greendale","given":"G. A.","non-dropping-particle":"","parse-names":false,"suffix":""}],"container-title":"Breast Cancer Research and Treatment","id":"ITEM-3","issue":"3","issued":{"date-parts":[["2004","12"]]},"page":"257-261","title":"Bone mineral density and adjuvant therapy in breast cancer survivors","type":"article-journal","volume":"88"},"uris":["http://www.mendeley.com/documents/?uuid=25342854-7b80-3e5c-a582-9cb409e548cd"]}],"mendeley":{"formattedCitation":"(3,12,44)","plainTextFormattedCitation":"(3,12,44)","previouslyFormattedCitation":"(3,12,43)"},"properties":{"noteIndex":0},"schema":"https://github.com/citation-style-language/schema/raw/master/csl-citation.json"}</w:instrText>
      </w:r>
      <w:r w:rsidRPr="003B4F77">
        <w:rPr>
          <w:rFonts w:ascii="Book Antiqua" w:hAnsi="Book Antiqua" w:cs="Garamond-Light"/>
          <w:szCs w:val="20"/>
        </w:rPr>
        <w:fldChar w:fldCharType="separate"/>
      </w:r>
      <w:r w:rsidRPr="003B4F77">
        <w:rPr>
          <w:rFonts w:ascii="Book Antiqua" w:hAnsi="Book Antiqua" w:cs="Garamond-Light"/>
          <w:noProof/>
          <w:szCs w:val="20"/>
        </w:rPr>
        <w:t>(3,12,44)</w:t>
      </w:r>
      <w:r w:rsidRPr="003B4F77">
        <w:rPr>
          <w:rFonts w:ascii="Book Antiqua" w:hAnsi="Book Antiqua" w:cs="Garamond-Light"/>
          <w:szCs w:val="20"/>
        </w:rPr>
        <w:fldChar w:fldCharType="end"/>
      </w:r>
      <w:r w:rsidRPr="003B4F77">
        <w:rPr>
          <w:rFonts w:ascii="Book Antiqua" w:hAnsi="Book Antiqua" w:cs="Garamond-Light"/>
          <w:szCs w:val="20"/>
        </w:rPr>
        <w:t xml:space="preserve">. Whereas, Ferreira Poloni et al. </w:t>
      </w:r>
      <w:r w:rsidRPr="003B4F77">
        <w:rPr>
          <w:rFonts w:ascii="Book Antiqua" w:hAnsi="Book Antiqua" w:cs="Garamond-Light"/>
          <w:szCs w:val="20"/>
        </w:rPr>
        <w:fldChar w:fldCharType="begin" w:fldLock="1"/>
      </w:r>
      <w:r w:rsidRPr="003B4F77">
        <w:rPr>
          <w:rFonts w:ascii="Book Antiqua" w:hAnsi="Book Antiqua" w:cs="Garamond-Light"/>
          <w:szCs w:val="20"/>
        </w:rPr>
        <w:instrText>ADDIN CSL_CITATION {"citationItems":[{"id":"ITEM-1","itemData":{"DOI":"10.1080/13697137.2017.1329290","ISSN":"1369-7137","PMID":"28569124","abstract":"OBJECTIVE To evaluate risk factors for low bone mineral density (BMD) in postmenopausal breast cancer survivors compared with postmenopausal women without breast cancer (controls). METHOD In this study, 112 breast cancer survivors were compared to 224 women (controls). Inclusion criteria were amenorrhea ≥12 months, age 45-75 years, treated for breast cancer, and metastasis-free for at least 5 years. The control group consisted of women without breast cancer, matched by age and menopause status (in a proportion of 1: 2 as sample calculation). The risk factors for low BMD (osteopenia/osteoporosis) were assessed by interview. BMD was measured by dual-energy X-ray absorptiometry in the lumbar spine (L1-L4) and femoral neck. Logistic regression models (odds ratio, OR) were used to identify factors associated with low BMD. RESULTS The mean (standard deviation) age of breast cancer survivors was 61.3 (9.7) years, with a mean follow-up of 10.2 (3.9) years. These women had a higher incidence of osteopenia (45.1%) and osteoporosis (22.3%) in the femoral neck than controls (39.3% and 9.0%, respectively) (p</w:instrText>
      </w:r>
      <w:r w:rsidRPr="003B4F77">
        <w:rPr>
          <w:szCs w:val="20"/>
        </w:rPr>
        <w:instrText> </w:instrText>
      </w:r>
      <w:r w:rsidRPr="003B4F77">
        <w:rPr>
          <w:rFonts w:ascii="Book Antiqua" w:hAnsi="Book Antiqua" w:cs="Garamond-Light"/>
          <w:szCs w:val="20"/>
        </w:rPr>
        <w:instrText>=</w:instrText>
      </w:r>
      <w:r w:rsidRPr="003B4F77">
        <w:rPr>
          <w:szCs w:val="20"/>
        </w:rPr>
        <w:instrText> </w:instrText>
      </w:r>
      <w:r w:rsidRPr="003B4F77">
        <w:rPr>
          <w:rFonts w:ascii="Book Antiqua" w:hAnsi="Book Antiqua" w:cs="Garamond-Light"/>
          <w:szCs w:val="20"/>
        </w:rPr>
        <w:instrText>0.0005). Lumbar spine BMD did not differ between groups (p</w:instrText>
      </w:r>
      <w:r w:rsidRPr="003B4F77">
        <w:rPr>
          <w:szCs w:val="20"/>
        </w:rPr>
        <w:instrText> </w:instrText>
      </w:r>
      <w:r w:rsidRPr="003B4F77">
        <w:rPr>
          <w:rFonts w:ascii="Book Antiqua" w:hAnsi="Book Antiqua" w:cs="Garamond-Light"/>
          <w:szCs w:val="20"/>
        </w:rPr>
        <w:instrText>=</w:instrText>
      </w:r>
      <w:r w:rsidRPr="003B4F77">
        <w:rPr>
          <w:szCs w:val="20"/>
        </w:rPr>
        <w:instrText> </w:instrText>
      </w:r>
      <w:r w:rsidRPr="003B4F77">
        <w:rPr>
          <w:rFonts w:ascii="Book Antiqua" w:hAnsi="Book Antiqua" w:cs="Garamond-Light"/>
          <w:szCs w:val="20"/>
        </w:rPr>
        <w:instrText>0.332). Univariate analysis adjusted for age and time since menopause revealed that chemotherapy (OR 6.90; 95% confidence interval (CI) 5.57-9.77) was associated with a higher risk of low BMD. Contrarily, regular physical exercise (OR 0.24; 95% CI 0.06-0.98) and a body mass index ≥30</w:instrText>
      </w:r>
      <w:r w:rsidRPr="003B4F77">
        <w:rPr>
          <w:szCs w:val="20"/>
        </w:rPr>
        <w:instrText> </w:instrText>
      </w:r>
      <w:r w:rsidRPr="003B4F77">
        <w:rPr>
          <w:rFonts w:ascii="Book Antiqua" w:hAnsi="Book Antiqua" w:cs="Garamond-Light"/>
          <w:szCs w:val="20"/>
        </w:rPr>
        <w:instrText>kg/m2 (OR 0.09; 95% CI 0.02-0.37) reduced the risk among breast cancer survivors. CONCLUSION Postmenopausal breast cancer survivors had a higher incidence of osteopenia and osteoporosis in the femoral neck than women without breast cancer. A history of chemotherapy was a risk factor for low BMD, whereas regular physical activity and high body mass index reduced the risk among breast cancer survivors.","author":[{"dropping-particle":"","family":"Ferreira Poloni","given":"P.","non-dropping-particle":"","parse-names":false,"suffix":""},{"dropping-particle":"","family":"Vespoli","given":"H. De Luca","non-dropping-particle":"","parse-names":false,"suffix":""},{"dropping-particle":"","family":"Almeida-Filho","given":"B. de Sousa","non-dropping-particle":"","parse-names":false,"suffix":""},{"dropping-particle":"","family":"Bueloni-Dias","given":"F.","non-dropping-particle":"","parse-names":false,"suffix":""},{"dropping-particle":"","family":"Nahas-Neto","given":"J.","non-dropping-particle":"","parse-names":false,"suffix":""},{"dropping-particle":"","family":"Nahas","given":"E. Aguiar Petri","non-dropping-particle":"","parse-names":false,"suffix":""}],"container-title":"Climacteric","id":"ITEM-1","issue":"5","issued":{"date-parts":[["2017","9","3"]]},"page":"491-497","title":"Low bone mineral density is associated with breast cancer in postmenopausal women: a case–control study","type":"article-journal","volume":"20"},"uris":["http://www.mendeley.com/documents/?uuid=d69146b5-0a88-3259-b06a-e58b597aefcd"]}],"mendeley":{"formattedCitation":"(17)","plainTextFormattedCitation":"(17)","previouslyFormattedCitation":"(17)"},"properties":{"noteIndex":0},"schema":"https://github.com/citation-style-language/schema/raw/master/csl-citation.json"}</w:instrText>
      </w:r>
      <w:r w:rsidRPr="003B4F77">
        <w:rPr>
          <w:rFonts w:ascii="Book Antiqua" w:hAnsi="Book Antiqua" w:cs="Garamond-Light"/>
          <w:szCs w:val="20"/>
        </w:rPr>
        <w:fldChar w:fldCharType="separate"/>
      </w:r>
      <w:r w:rsidRPr="003B4F77">
        <w:rPr>
          <w:rFonts w:ascii="Book Antiqua" w:hAnsi="Book Antiqua" w:cs="Garamond-Light"/>
          <w:noProof/>
          <w:szCs w:val="20"/>
        </w:rPr>
        <w:t>(17)</w:t>
      </w:r>
      <w:r w:rsidRPr="003B4F77">
        <w:rPr>
          <w:rFonts w:ascii="Book Antiqua" w:hAnsi="Book Antiqua" w:cs="Garamond-Light"/>
          <w:szCs w:val="20"/>
        </w:rPr>
        <w:fldChar w:fldCharType="end"/>
      </w:r>
      <w:r w:rsidRPr="003B4F77">
        <w:rPr>
          <w:rFonts w:ascii="Book Antiqua" w:hAnsi="Book Antiqua" w:cs="Garamond-Light"/>
          <w:szCs w:val="20"/>
        </w:rPr>
        <w:t xml:space="preserve"> observed that osteopenia and osteoporosis in the femoral neck was more prevalent in BCS (14.5 ± 8.5 years post-menopause) when compared to controls with a similar time since menopause. Further, across all skeletal sites, low bone mass (osteopenia or osteoporosis) was present in 77% of BCS compared to 74.5% in controls </w:t>
      </w:r>
      <w:r w:rsidRPr="003B4F77">
        <w:rPr>
          <w:rFonts w:ascii="Book Antiqua" w:hAnsi="Book Antiqua" w:cs="Garamond-Light"/>
          <w:szCs w:val="20"/>
        </w:rPr>
        <w:fldChar w:fldCharType="begin" w:fldLock="1"/>
      </w:r>
      <w:r w:rsidRPr="003B4F77">
        <w:rPr>
          <w:rFonts w:ascii="Book Antiqua" w:hAnsi="Book Antiqua" w:cs="Garamond-Light"/>
          <w:szCs w:val="20"/>
        </w:rPr>
        <w:instrText>ADDIN CSL_CITATION {"citationItems":[{"id":"ITEM-1","itemData":{"DOI":"10.1080/13697137.2017.1329290","ISSN":"1369-7137","PMID":"28569124","abstract":"OBJECTIVE To evaluate risk factors for low bone mineral density (BMD) in postmenopausal breast cancer survivors compared with postmenopausal women without breast cancer (controls). METHOD In this study, 112 breast cancer survivors were compared to 224 women (controls). Inclusion criteria were amenorrhea ≥12 months, age 45-75 years, treated for breast cancer, and metastasis-free for at least 5 years. The control group consisted of women without breast cancer, matched by age and menopause status (in a proportion of 1: 2 as sample calculation). The risk factors for low BMD (osteopenia/osteoporosis) were assessed by interview. BMD was measured by dual-energy X-ray absorptiometry in the lumbar spine (L1-L4) and femoral neck. Logistic regression models (odds ratio, OR) were used to identify factors associated with low BMD. RESULTS The mean (standard deviation) age of breast cancer survivors was 61.3 (9.7) years, with a mean follow-up of 10.2 (3.9) years. These women had a higher incidence of osteopenia (45.1%) and osteoporosis (22.3%) in the femoral neck than controls (39.3% and 9.0%, respectively) (p</w:instrText>
      </w:r>
      <w:r w:rsidRPr="003B4F77">
        <w:rPr>
          <w:szCs w:val="20"/>
        </w:rPr>
        <w:instrText> </w:instrText>
      </w:r>
      <w:r w:rsidRPr="003B4F77">
        <w:rPr>
          <w:rFonts w:ascii="Book Antiqua" w:hAnsi="Book Antiqua" w:cs="Garamond-Light"/>
          <w:szCs w:val="20"/>
        </w:rPr>
        <w:instrText>=</w:instrText>
      </w:r>
      <w:r w:rsidRPr="003B4F77">
        <w:rPr>
          <w:szCs w:val="20"/>
        </w:rPr>
        <w:instrText> </w:instrText>
      </w:r>
      <w:r w:rsidRPr="003B4F77">
        <w:rPr>
          <w:rFonts w:ascii="Book Antiqua" w:hAnsi="Book Antiqua" w:cs="Garamond-Light"/>
          <w:szCs w:val="20"/>
        </w:rPr>
        <w:instrText>0.0005). Lumbar spine BMD did not differ between groups (p</w:instrText>
      </w:r>
      <w:r w:rsidRPr="003B4F77">
        <w:rPr>
          <w:szCs w:val="20"/>
        </w:rPr>
        <w:instrText> </w:instrText>
      </w:r>
      <w:r w:rsidRPr="003B4F77">
        <w:rPr>
          <w:rFonts w:ascii="Book Antiqua" w:hAnsi="Book Antiqua" w:cs="Garamond-Light"/>
          <w:szCs w:val="20"/>
        </w:rPr>
        <w:instrText>=</w:instrText>
      </w:r>
      <w:r w:rsidRPr="003B4F77">
        <w:rPr>
          <w:szCs w:val="20"/>
        </w:rPr>
        <w:instrText> </w:instrText>
      </w:r>
      <w:r w:rsidRPr="003B4F77">
        <w:rPr>
          <w:rFonts w:ascii="Book Antiqua" w:hAnsi="Book Antiqua" w:cs="Garamond-Light"/>
          <w:szCs w:val="20"/>
        </w:rPr>
        <w:instrText>0.332). Univariate analysis adjusted for age and time since menopause revealed that chemotherapy (OR 6.90; 95% confidence interval (CI) 5.57-9.77) was associated with a higher risk of low BMD. Contrarily, regular physical exercise (OR 0.24; 95% CI 0.06-0.98) and a body mass index ≥30</w:instrText>
      </w:r>
      <w:r w:rsidRPr="003B4F77">
        <w:rPr>
          <w:szCs w:val="20"/>
        </w:rPr>
        <w:instrText> </w:instrText>
      </w:r>
      <w:r w:rsidRPr="003B4F77">
        <w:rPr>
          <w:rFonts w:ascii="Book Antiqua" w:hAnsi="Book Antiqua" w:cs="Garamond-Light"/>
          <w:szCs w:val="20"/>
        </w:rPr>
        <w:instrText>kg/m2 (OR 0.09; 95% CI 0.02-0.37) reduced the risk among breast cancer survivors. CONCLUSION Postmenopausal breast cancer survivors had a higher incidence of osteopenia and osteoporosis in the femoral neck than women without breast cancer. A history of chemotherapy was a risk factor for low BMD, whereas regular physical activity and high body mass index reduced the risk among breast cancer survivors.","author":[{"dropping-particle":"","family":"Ferreira Poloni","given":"P.","non-dropping-particle":"","parse-names":false,"suffix":""},{"dropping-particle":"","family":"Vespoli","given":"H. De Luca","non-dropping-particle":"","parse-names":false,"suffix":""},{"dropping-particle":"","family":"Almeida-Filho","given":"B. de Sousa","non-dropping-particle":"","parse-names":false,"suffix":""},{"dropping-particle":"","family":"Bueloni-Dias","given":"F.","non-dropping-particle":"","parse-names":false,"suffix":""},{"dropping-particle":"","family":"Nahas-Neto","given":"J.","non-dropping-particle":"","parse-names":false,"suffix":""},{"dropping-particle":"","family":"Nahas","given":"E. Aguiar Petri","non-dropping-particle":"","parse-names":false,"suffix":""}],"container-title":"Climacteric","id":"ITEM-1","issue":"5","issued":{"date-parts":[["2017","9","3"]]},"page":"491-497","title":"Low bone mineral density is associated with breast cancer in postmenopausal women: a case–control study","type":"article-journal","volume":"20"},"uris":["http://www.mendeley.com/documents/?uuid=d69146b5-0a88-3259-b06a-e58b597aefcd"]}],"mendeley":{"formattedCitation":"(17)","plainTextFormattedCitation":"(17)","previouslyFormattedCitation":"(17)"},"properties":{"noteIndex":0},"schema":"https://github.com/citation-style-language/schema/raw/master/csl-citation.json"}</w:instrText>
      </w:r>
      <w:r w:rsidRPr="003B4F77">
        <w:rPr>
          <w:rFonts w:ascii="Book Antiqua" w:hAnsi="Book Antiqua" w:cs="Garamond-Light"/>
          <w:szCs w:val="20"/>
        </w:rPr>
        <w:fldChar w:fldCharType="separate"/>
      </w:r>
      <w:r w:rsidRPr="003B4F77">
        <w:rPr>
          <w:rFonts w:ascii="Book Antiqua" w:hAnsi="Book Antiqua" w:cs="Garamond-Light"/>
          <w:noProof/>
          <w:szCs w:val="20"/>
        </w:rPr>
        <w:t>(17)</w:t>
      </w:r>
      <w:r w:rsidRPr="003B4F77">
        <w:rPr>
          <w:rFonts w:ascii="Book Antiqua" w:hAnsi="Book Antiqua" w:cs="Garamond-Light"/>
          <w:szCs w:val="20"/>
        </w:rPr>
        <w:fldChar w:fldCharType="end"/>
      </w:r>
      <w:r w:rsidRPr="003B4F77">
        <w:rPr>
          <w:rFonts w:ascii="Book Antiqua" w:hAnsi="Book Antiqua" w:cs="Garamond-Light"/>
          <w:szCs w:val="20"/>
        </w:rPr>
        <w:t xml:space="preserve">. Despite the lack of significant differences in BMD between BCS and controls in the present study, more BCS had low BMD (T-score &lt;-1.0) at the lumbar (41.2 vs. 16.7%) and left femoral neck (70.6 vs. 50.0%). Although our sample is small, the prevalence of low BMD in our study at the lumbar spine (41.2 vs. 45.7%) is similar that observed in 70 BCS (53.2 ± 5.9 years) that were also ~5 years post-diagnosis </w:t>
      </w:r>
      <w:r w:rsidRPr="003B4F77">
        <w:rPr>
          <w:rFonts w:ascii="Book Antiqua" w:hAnsi="Book Antiqua" w:cs="Garamond-Light"/>
          <w:szCs w:val="20"/>
        </w:rPr>
        <w:fldChar w:fldCharType="begin" w:fldLock="1"/>
      </w:r>
      <w:r w:rsidRPr="003B4F77">
        <w:rPr>
          <w:rFonts w:ascii="Book Antiqua" w:hAnsi="Book Antiqua" w:cs="Garamond-Light"/>
          <w:szCs w:val="20"/>
        </w:rPr>
        <w:instrText>ADDIN CSL_CITATION {"citationItems":[{"id":"ITEM-1","itemData":{"DOI":"10.1159/000337763","ISSN":"1661-3805","PMID":"22740798","abstract":"BACKGROUND: The aim of this study was to investigate the prevalence of low bone mineral density (BMD) and associated factors in middle-aged breast cancer survivors (BCS). PATIENTS AND METHODS: A cross-sectional study was conducted with 70 BCS of 45-65 years of age undergoing complete oncology treatment. Logistic regression models were used to identify factors associated with low BMD (osteopenia and osteoporosis taken together as a single group). RESULTS: The mean age of participants was 53.2 ± 5.9 years. BMD was low at the femoral neck in 28.6% of patients and at the lumbar spine in 45.7%. Body mass index ≤ 30 kg/m(2) (adjusted odds ratio (OR) 3.43; 95% confidence interval (CI) 1.0-11.3) and postmenopausal status (OR adjusted 20.42; 95% CI 2.0-201.2) were associated with low BMD at the lumbar spine. Femoral neck measurements, age &gt; 50 years (OR 3.41; 95% CI 1.0-11.6), and time since diagnosis &gt; 50 months (OR adjusted 3.34; 95% CI 1.0-11.3) increased the likelihood of low BMD. CONCLUSION: These findings show that low BMD is common in middle-aged BCS. Factors were identified that may affect BMD in BCS and should be considered when implementing strategies to minimize bone loss in middle-aged women with breast cancer.","author":[{"dropping-particle":"","family":"Conde","given":"Délio Marques","non-dropping-particle":"","parse-names":false,"suffix":""},{"dropping-particle":"","family":"Costa-Paiva","given":"Lúcia","non-dropping-particle":"","parse-names":false,"suffix":""},{"dropping-particle":"","family":"Martinez","given":"Edson Zangiacomi","non-dropping-particle":"","parse-names":false,"suffix":""},{"dropping-particle":"","family":"Pinto-Neto","given":"Aarão Mendes","non-dropping-particle":"","parse-names":false,"suffix":""}],"container-title":"Breast Care","id":"ITEM-1","issue":"2","issued":{"date-parts":[["2012","4"]]},"page":"121-125","title":"Low Bone Mineral Density in Middle-Aged Breast Cancer Survivors: Prevalence and Associated Factors","type":"article-journal","volume":"7"},"uris":["http://www.mendeley.com/documents/?uuid=64f9aec9-56f9-37fc-b071-64026ec938b4"]}],"mendeley":{"formattedCitation":"(11)","plainTextFormattedCitation":"(11)","previouslyFormattedCitation":"(11)"},"properties":{"noteIndex":0},"schema":"https://github.com/citation-style-language/schema/raw/master/csl-citation.json"}</w:instrText>
      </w:r>
      <w:r w:rsidRPr="003B4F77">
        <w:rPr>
          <w:rFonts w:ascii="Book Antiqua" w:hAnsi="Book Antiqua" w:cs="Garamond-Light"/>
          <w:szCs w:val="20"/>
        </w:rPr>
        <w:fldChar w:fldCharType="separate"/>
      </w:r>
      <w:r w:rsidRPr="003B4F77">
        <w:rPr>
          <w:rFonts w:ascii="Book Antiqua" w:hAnsi="Book Antiqua" w:cs="Garamond-Light"/>
          <w:szCs w:val="20"/>
        </w:rPr>
        <w:t>(11)</w:t>
      </w:r>
      <w:r w:rsidRPr="003B4F77">
        <w:rPr>
          <w:rFonts w:ascii="Book Antiqua" w:hAnsi="Book Antiqua" w:cs="Garamond-Light"/>
          <w:szCs w:val="20"/>
        </w:rPr>
        <w:fldChar w:fldCharType="end"/>
      </w:r>
      <w:r w:rsidRPr="003B4F77">
        <w:rPr>
          <w:rFonts w:ascii="Book Antiqua" w:hAnsi="Book Antiqua" w:cs="Garamond-Light"/>
          <w:szCs w:val="20"/>
        </w:rPr>
        <w:t xml:space="preserve">. However when comparing BMD at the femoral neck, our BCS had a greater prevalence of low BMD (76.5 vs. 28.6%) than the BCS in the study by Conde et al. </w:t>
      </w:r>
      <w:bookmarkStart w:id="4" w:name="_Hlk29565119"/>
      <w:r w:rsidRPr="003B4F77">
        <w:rPr>
          <w:rFonts w:ascii="Book Antiqua" w:hAnsi="Book Antiqua" w:cs="Garamond-Light"/>
          <w:szCs w:val="20"/>
        </w:rPr>
        <w:fldChar w:fldCharType="begin" w:fldLock="1"/>
      </w:r>
      <w:r w:rsidRPr="003B4F77">
        <w:rPr>
          <w:rFonts w:ascii="Book Antiqua" w:hAnsi="Book Antiqua" w:cs="Garamond-Light"/>
          <w:szCs w:val="20"/>
        </w:rPr>
        <w:instrText>ADDIN CSL_CITATION {"citationItems":[{"id":"ITEM-1","itemData":{"DOI":"10.1159/000337763","ISSN":"1661-3805","PMID":"22740798","abstract":"BACKGROUND: The aim of this study was to investigate the prevalence of low bone mineral density (BMD) and associated factors in middle-aged breast cancer survivors (BCS). PATIENTS AND METHODS: A cross-sectional study was conducted with 70 BCS of 45-65 years of age undergoing complete oncology treatment. Logistic regression models were used to identify factors associated with low BMD (osteopenia and osteoporosis taken together as a single group). RESULTS: The mean age of participants was 53.2 ± 5.9 years. BMD was low at the femoral neck in 28.6% of patients and at the lumbar spine in 45.7%. Body mass index ≤ 30 kg/m(2) (adjusted odds ratio (OR) 3.43; 95% confidence interval (CI) 1.0-11.3) and postmenopausal status (OR adjusted 20.42; 95% CI 2.0-201.2) were associated with low BMD at the lumbar spine. Femoral neck measurements, age &gt; 50 years (OR 3.41; 95% CI 1.0-11.6), and time since diagnosis &gt; 50 months (OR adjusted 3.34; 95% CI 1.0-11.3) increased the likelihood of low BMD. CONCLUSION: These findings show that low BMD is common in middle-aged BCS. Factors were identified that may affect BMD in BCS and should be considered when implementing strategies to minimize bone loss in middle-aged women with breast cancer.","author":[{"dropping-particle":"","family":"Conde","given":"Délio Marques","non-dropping-particle":"","parse-names":false,"suffix":""},{"dropping-particle":"","family":"Costa-Paiva","given":"Lúcia","non-dropping-particle":"","parse-names":false,"suffix":""},{"dropping-particle":"","family":"Martinez","given":"Edson Zangiacomi","non-dropping-particle":"","parse-names":false,"suffix":""},{"dropping-particle":"","family":"Pinto-Neto","given":"Aarão Mendes","non-dropping-particle":"","parse-names":false,"suffix":""}],"container-title":"Breast Care","id":"ITEM-1","issue":"2","issued":{"date-parts":[["2012","4"]]},"page":"121-125","title":"Low Bone Mineral Density in Middle-Aged Breast Cancer Survivors: Prevalence and Associated Factors","type":"article-journal","volume":"7"},"uris":["http://www.mendeley.com/documents/?uuid=64f9aec9-56f9-37fc-b071-64026ec938b4"]}],"mendeley":{"formattedCitation":"(11)","plainTextFormattedCitation":"(11)","previouslyFormattedCitation":"(11)"},"properties":{"noteIndex":0},"schema":"https://github.com/citation-style-language/schema/raw/master/csl-citation.json"}</w:instrText>
      </w:r>
      <w:r w:rsidRPr="003B4F77">
        <w:rPr>
          <w:rFonts w:ascii="Book Antiqua" w:hAnsi="Book Antiqua" w:cs="Garamond-Light"/>
          <w:szCs w:val="20"/>
        </w:rPr>
        <w:fldChar w:fldCharType="separate"/>
      </w:r>
      <w:r w:rsidRPr="003B4F77">
        <w:rPr>
          <w:rFonts w:ascii="Book Antiqua" w:hAnsi="Book Antiqua" w:cs="Garamond-Light"/>
          <w:noProof/>
          <w:szCs w:val="20"/>
        </w:rPr>
        <w:t>(11)</w:t>
      </w:r>
      <w:r w:rsidRPr="003B4F77">
        <w:rPr>
          <w:rFonts w:ascii="Book Antiqua" w:hAnsi="Book Antiqua" w:cs="Garamond-Light"/>
          <w:szCs w:val="20"/>
        </w:rPr>
        <w:fldChar w:fldCharType="end"/>
      </w:r>
      <w:bookmarkEnd w:id="4"/>
      <w:r w:rsidRPr="003B4F77">
        <w:rPr>
          <w:rFonts w:ascii="Book Antiqua" w:hAnsi="Book Antiqua" w:cs="Garamond-Light"/>
          <w:szCs w:val="20"/>
        </w:rPr>
        <w:t xml:space="preserve">. </w:t>
      </w:r>
    </w:p>
    <w:p w:rsidR="005A53CC" w:rsidRDefault="005A53CC" w:rsidP="001C6FA6">
      <w:pPr>
        <w:autoSpaceDE w:val="0"/>
        <w:autoSpaceDN w:val="0"/>
        <w:adjustRightInd w:val="0"/>
        <w:jc w:val="both"/>
        <w:rPr>
          <w:rFonts w:ascii="Book Antiqua" w:hAnsi="Book Antiqua" w:cs="Garamond-Light"/>
        </w:rPr>
      </w:pPr>
    </w:p>
    <w:p w:rsidR="001C6FA6" w:rsidRPr="003B4F77" w:rsidRDefault="001C6FA6" w:rsidP="001C6FA6">
      <w:pPr>
        <w:autoSpaceDE w:val="0"/>
        <w:autoSpaceDN w:val="0"/>
        <w:adjustRightInd w:val="0"/>
        <w:jc w:val="both"/>
        <w:rPr>
          <w:rFonts w:ascii="Book Antiqua" w:hAnsi="Book Antiqua" w:cs="Garamond-Light"/>
        </w:rPr>
      </w:pPr>
      <w:r w:rsidRPr="003B4F77">
        <w:rPr>
          <w:rFonts w:ascii="Book Antiqua" w:hAnsi="Book Antiqua" w:cs="Garamond-Light"/>
        </w:rPr>
        <w:t xml:space="preserve">These differences between our findings and those of Conde et al. </w:t>
      </w:r>
      <w:r w:rsidRPr="003B4F77">
        <w:rPr>
          <w:rFonts w:ascii="Book Antiqua" w:hAnsi="Book Antiqua" w:cs="Garamond-Light"/>
        </w:rPr>
        <w:fldChar w:fldCharType="begin" w:fldLock="1"/>
      </w:r>
      <w:r w:rsidRPr="003B4F77">
        <w:rPr>
          <w:rFonts w:ascii="Book Antiqua" w:hAnsi="Book Antiqua" w:cs="Garamond-Light"/>
        </w:rPr>
        <w:instrText>ADDIN CSL_CITATION {"citationItems":[{"id":"ITEM-1","itemData":{"DOI":"10.1159/000337763","ISSN":"1661-3805","PMID":"22740798","abstract":"BACKGROUND: The aim of this study was to investigate the prevalence of low bone mineral density (BMD) and associated factors in middle-aged breast cancer survivors (BCS). PATIENTS AND METHODS: A cross-sectional study was conducted with 70 BCS of 45-65 years of age undergoing complete oncology treatment. Logistic regression models were used to identify factors associated with low BMD (osteopenia and osteoporosis taken together as a single group). RESULTS: The mean age of participants was 53.2 ± 5.9 years. BMD was low at the femoral neck in 28.6% of patients and at the lumbar spine in 45.7%. Body mass index ≤ 30 kg/m(2) (adjusted odds ratio (OR) 3.43; 95% confidence interval (CI) 1.0-11.3) and postmenopausal status (OR adjusted 20.42; 95% CI 2.0-201.2) were associated with low BMD at the lumbar spine. Femoral neck measurements, age &gt; 50 years (OR 3.41; 95% CI 1.0-11.6), and time since diagnosis &gt; 50 months (OR adjusted 3.34; 95% CI 1.0-11.3) increased the likelihood of low BMD. CONCLUSION: These findings show that low BMD is common in middle-aged BCS. Factors were identified that may affect BMD in BCS and should be considered when implementing strategies to minimize bone loss in middle-aged women with breast cancer.","author":[{"dropping-particle":"","family":"Conde","given":"Délio Marques","non-dropping-particle":"","parse-names":false,"suffix":""},{"dropping-particle":"","family":"Costa-Paiva","given":"Lúcia","non-dropping-particle":"","parse-names":false,"suffix":""},{"dropping-particle":"","family":"Martinez","given":"Edson Zangiacomi","non-dropping-particle":"","parse-names":false,"suffix":""},{"dropping-particle":"","family":"Pinto-Neto","given":"Aarão Mendes","non-dropping-particle":"","parse-names":false,"suffix":""}],"container-title":"Breast Care","id":"ITEM-1","issue":"2","issued":{"date-parts":[["2012","4"]]},"page":"121-125","title":"Low Bone Mineral Density in Middle-Aged Breast Cancer Survivors: Prevalence and Associated Factors","type":"article-journal","volume":"7"},"uris":["http://www.mendeley.com/documents/?uuid=64f9aec9-56f9-37fc-b071-64026ec938b4"]}],"mendeley":{"formattedCitation":"(11)","plainTextFormattedCitation":"(11)","previouslyFormattedCitation":"(11)"},"properties":{"noteIndex":0},"schema":"https://github.com/citation-style-language/schema/raw/master/csl-citation.json"}</w:instrText>
      </w:r>
      <w:r w:rsidRPr="003B4F77">
        <w:rPr>
          <w:rFonts w:ascii="Book Antiqua" w:hAnsi="Book Antiqua" w:cs="Garamond-Light"/>
        </w:rPr>
        <w:fldChar w:fldCharType="separate"/>
      </w:r>
      <w:r w:rsidRPr="003B4F77">
        <w:rPr>
          <w:rFonts w:ascii="Book Antiqua" w:hAnsi="Book Antiqua" w:cs="Garamond-Light"/>
          <w:noProof/>
        </w:rPr>
        <w:t>(11)</w:t>
      </w:r>
      <w:r w:rsidRPr="003B4F77">
        <w:rPr>
          <w:rFonts w:ascii="Book Antiqua" w:hAnsi="Book Antiqua" w:cs="Garamond-Light"/>
        </w:rPr>
        <w:fldChar w:fldCharType="end"/>
      </w:r>
      <w:r w:rsidRPr="003B4F77">
        <w:rPr>
          <w:rFonts w:ascii="Book Antiqua" w:hAnsi="Book Antiqua" w:cs="Garamond-Light"/>
        </w:rPr>
        <w:t xml:space="preserve"> may be due to our BCS being slightly older (59 ± 9 vs. 53 ± 6 years), despite more of our BCS being diagnosed at an earlier stage (stage 0 or I: 68.8 vs. 28.5%) and having a slightly greater time since diagnosis (76.4 ± 17.8  vs. 65.2 ± 55.1 months). Although it has been reported that age- and hormonal-related decrements in BMD cause greater losses of BMD at the lumbar spine than the femur </w:t>
      </w:r>
      <w:r w:rsidRPr="003B4F77">
        <w:rPr>
          <w:rFonts w:ascii="Book Antiqua" w:hAnsi="Book Antiqua" w:cs="Garamond-Light"/>
        </w:rPr>
        <w:fldChar w:fldCharType="begin" w:fldLock="1"/>
      </w:r>
      <w:r w:rsidRPr="003B4F77">
        <w:rPr>
          <w:rFonts w:ascii="Book Antiqua" w:hAnsi="Book Antiqua" w:cs="Garamond-Light"/>
        </w:rPr>
        <w:instrText>ADDIN CSL_CITATION {"citationItems":[{"id":"ITEM-1","itemData":{"DOI":"10.1007/s00198-008-0562-x","ISSN":"0937-941X","PMID":"18305885","abstract":"UNLABELLED In this 15-year follow-up study, we found that the estimated rate of bone loss at the femoral neck (FN) for women aged 45-68 was linear at a rate of 1.67% per year, but quadratic for lumbar spine (LS) at a rate of 3.12% initially, and slowing down with age. We also confirmed the protective role of HRT, increasing weight, and lean mass in long-term bone loss. INTRODUCTION The objective was to describe the natural history of bone loss and explore the role of environmental factors in postmenopausal women over a 15-year period. METHODS Bone mineral density (BMD) at the FN and the LS were measured in postmenopausal women from the Chingford Study. Height, weight, HRT status, and calcium/vitamin D supplement were assessed at each visit. Osteoarthritis of hip and spine was assessed by X-ray at baseline and at year 8. RESULTS A total of 955 postmenopausal women with an average age of 54.7 at baseline were included. Both FN and LS BMD decreased significantly with age (p&lt;0.0001). The decline was larger in the LS (-3.12% per year), which showed a quadratic relationship, than in the FN (-1.67% per year) with a linear relationship. The rate of bone loss was reduced by one third annually for the FN and LS respectively in current HRT users. Change in weight was positively associated with both DeltaFN and DeltaLS BMD (beta=0.16% and 0.09% change in DeltaFN and DeltaLS BMD per kilogramme change in weight respectively, p&lt;0.0001 for both sites). Spine OA and progression were positively associated with DeltaLS BMD (beta=1.22% change in DeltaLS BMD per grade in spine OA and 0.45% change in DeltaLS BMD for patients who progressed, p&lt;0.0001 for spine OA and p=0.002 for spine OA progression). Spine OA (beta=0.54% change in DeltaFN BMD per grade, p&lt;0.0001), but not progression, and hip OA were positively associated with DeltaFN BMD. Furthermore, both age and body weight at baseline were positively associated with both DeltaFN and DeltaLS BMD (beta=0.02-0.04% change in DeltaFN and DeltaLS BMD per year increase in age at baseline and 0.004-0.007% change in DeltaFN and DeltaLS BMD per kilogramme increase in weight at baseline, all p&lt;0.0001). CONCLUSION This large population-based longitudinal study demonstrated that the decline of BMD over 15 years is linear with age for the FN, but quadratic for the LS. The study confirmed the protective role of HRT, increased weight and lean mass in long-term bone loss.","author":[{"dropping-particle":"","family":"Zhai","given":"G","non-dropping-particle":"","parse-names":false,"suffix":""},{"dropping-particle":"","family":"Hart","given":"D J","non-dropping-particle":"","parse-names":false,"suffix":""},{"dropping-particle":"","family":"Valdes","given":"A M","non-dropping-particle":"","parse-names":false,"suffix":""},{"dropping-particle":"","family":"Kato","given":"B S","non-dropping-particle":"","parse-names":false,"suffix":""},{"dropping-particle":"","family":"Richards","given":"J B","non-dropping-particle":"","parse-names":false,"suffix":""},{"dropping-particle":"","family":"Hakim","given":"A","non-dropping-particle":"","parse-names":false,"suffix":""},{"dropping-particle":"","family":"Spector","given":"T D","non-dropping-particle":"","parse-names":false,"suffix":""}],"container-title":"Osteoporosis international : a journal established as result of cooperation between the European Foundation for Osteoporosis and the National Osteoporosis Foundation of the USA","id":"ITEM-1","issue":"8","issued":{"date-parts":[["2008","8","28"]]},"page":"1211-7","title":"Natural history and risk factors for bone loss in postmenopausal Caucasian women: a 15-year follow-up population-based study.","type":"article-journal","volume":"19"},"uris":["http://www.mendeley.com/documents/?uuid=22008069-3396-39cf-a64a-6f8e75c242be"]},{"id":"ITEM-2","itemData":{"DOI":"10.1001/archinte.165.5.552","ISSN":"0003-9926","PMID":"15767532","abstract":"BACKGROUND Breast cancer and its treatment may compromise bone health. We tested the hypothesis in the Women's Health Initiative Observational Study that postmenopausal survivors of breast cancer have a higher risk for fractures compared with women who have no cancer history. METHODS A prospective cohort (5.1 years' follow-up) study design was used. Breast cancer survivors were women who reported a history of breast cancer (n = 5298). A reference group included women who had no cancer history at baseline (n = 80 848). Fracture occurrence was ascertained from annual self-reports. Hip fractures were confirmed by reviewing medical records. RESULTS After adjustment for age, weight, ethnicity, and geographic region of enrollment, the hazard ratios (HRs) of breast cancer survivors to women in the reference group were 0.93 (95% confidence interval [CI], 0.64-1.33) for hip; 1.36 (95% CI, 1.16-1.59) for forearm or wrist; 1.31 (95% CI, 1.19-1.43) for eligible fractures other than hip, vertebral, and forearm or wrist; and 1.31 (95% CI, 1.21-1.41) for these fractures combined. The increased risk for clinical vertebral fracture was statistically significant only among survivors who had a breast cancer diagnosis before age 55 years (HR, 1.78; 95% CI, 1.28-2.46). After adjusting for factors related to hormone levels, risk of fall, fracture history, medication use, comorbidity, and lifestyle, the increased risk for all fractures studied among survivors was reduced to 15% (HR, 1.15; 95% CI, 1.05-1.25). CONCLUSIONS Postmenopausal survivors of breast cancer are at increased risk for clinical fractures. Preventions and therapeutic interventions are needed to reduce fracture risk in this large and growing population.","author":[{"dropping-particle":"","family":"Chen","given":"Zhao","non-dropping-particle":"","parse-names":false,"suffix":""},{"dropping-particle":"","family":"Maricic","given":"Michael","non-dropping-particle":"","parse-names":false,"suffix":""},{"dropping-particle":"","family":"Bassford","given":"Tamsen L","non-dropping-particle":"","parse-names":false,"suffix":""},{"dropping-particle":"","family":"Pettinger","given":"Mary","non-dropping-particle":"","parse-names":false,"suffix":""},{"dropping-particle":"","family":"Ritenbaugh","given":"Cheryl","non-dropping-particle":"","parse-names":false,"suffix":""},{"dropping-particle":"","family":"Lopez","given":"Ana Maria","non-dropping-particle":"","parse-names":false,"suffix":""},{"dropping-particle":"","family":"Barad","given":"David H","non-dropping-particle":"","parse-names":false,"suffix":""},{"dropping-particle":"","family":"Gass","given":"Margery","non-dropping-particle":"","parse-names":false,"suffix":""},{"dropping-particle":"","family":"Leboff","given":"Meryl S","non-dropping-particle":"","parse-names":false,"suffix":""}],"container-title":"Archives of Internal Medicine","id":"ITEM-2","issue":"5","issued":{"date-parts":[["2005","3","14"]]},"page":"552","title":"Fracture Risk Among Breast Cancer Survivors","type":"article-journal","volume":"165"},"uris":["http://www.mendeley.com/documents/?uuid=6ad7ec3d-41d5-3d77-89a4-1b0fd929393c"]}],"mendeley":{"formattedCitation":"(10,54)","plainTextFormattedCitation":"(10,54)","previouslyFormattedCitation":"(10,53)"},"properties":{"noteIndex":0},"schema":"https://github.com/citation-style-language/schema/raw/master/csl-citation.json"}</w:instrText>
      </w:r>
      <w:r w:rsidRPr="003B4F77">
        <w:rPr>
          <w:rFonts w:ascii="Book Antiqua" w:hAnsi="Book Antiqua" w:cs="Garamond-Light"/>
        </w:rPr>
        <w:fldChar w:fldCharType="separate"/>
      </w:r>
      <w:r w:rsidRPr="003B4F77">
        <w:rPr>
          <w:rFonts w:ascii="Book Antiqua" w:hAnsi="Book Antiqua" w:cs="Garamond-Light"/>
          <w:noProof/>
        </w:rPr>
        <w:t>(10,54)</w:t>
      </w:r>
      <w:r w:rsidRPr="003B4F77">
        <w:rPr>
          <w:rFonts w:ascii="Book Antiqua" w:hAnsi="Book Antiqua" w:cs="Garamond-Light"/>
        </w:rPr>
        <w:fldChar w:fldCharType="end"/>
      </w:r>
      <w:r w:rsidRPr="003B4F77">
        <w:rPr>
          <w:rFonts w:ascii="Book Antiqua" w:hAnsi="Book Antiqua" w:cs="Garamond-Light"/>
        </w:rPr>
        <w:t xml:space="preserve">, not all studies agree </w:t>
      </w:r>
      <w:r w:rsidRPr="003B4F77">
        <w:rPr>
          <w:rFonts w:ascii="Book Antiqua" w:hAnsi="Book Antiqua" w:cs="Garamond-Light"/>
        </w:rPr>
        <w:fldChar w:fldCharType="begin" w:fldLock="1"/>
      </w:r>
      <w:r w:rsidRPr="003B4F77">
        <w:rPr>
          <w:rFonts w:ascii="Book Antiqua" w:hAnsi="Book Antiqua" w:cs="Garamond-Light"/>
        </w:rPr>
        <w:instrText>ADDIN CSL_CITATION {"citationItems":[{"id":"ITEM-1","itemData":{"ISSN":"1041-2972","PMID":"11930870","abstract":"PURPOSE The overall purpose of this longitudinal 18-month study was to test the feasibility and effectiveness of a multicomponent intervention for prevention and treatment of osteoporosis. The purpose of this article is to describe the baseline bone mineral density (BMD) findings for 30 postmenopausal women and to compare these BMD findings to time since menopause, body mass index, and tamoxifen use. DATA SOURCES Baseline data of BMD findings for 30 postmenopausal women, who have had a variety of treatments including surgery, adjuvant chemotherapy and or tamoxifen, and are enrolled in the 18-month longitudinal study. A demographic questionnaire and a three day dietary record were used to collect baseline data. CONCLUSIONS Eighty percent of the women with breast cancer history had abnormal BMDs at baseline (t-scores below -1.00 SD). Thinner women showed a greater risk for accelerated trabecular bone loss at the spine and hip. IMPLICATIONS FOR PRACTICE These findings suggest the need for early BMD assessments and for aggressive health promotion intervention strategies that include a multifaceted protocol of drug therapy for bone remodeling, 1500 mg of daily calcium, 400 IU vitamin D and a strength weight training program that is implemented immediately following chemotherapy treatment and menopause in this high risk population of women.","author":[{"dropping-particle":"","family":"Twiss","given":"J J","non-dropping-particle":"","parse-names":false,"suffix":""},{"dropping-particle":"","family":"Waltman","given":"N","non-dropping-particle":"","parse-names":false,"suffix":""},{"dropping-particle":"","family":"Ott","given":"C D","non-dropping-particle":"","parse-names":false,"suffix":""},{"dropping-particle":"","family":"Gross","given":"G J","non-dropping-particle":"","parse-names":false,"suffix":""},{"dropping-particle":"","family":"Lindsey","given":"A M","non-dropping-particle":"","parse-names":false,"suffix":""},{"dropping-particle":"","family":"Moore","given":"T E","non-dropping-particle":"","parse-names":false,"suffix":""}],"container-title":"Journal of the American Academy of Nurse Practitioners","id":"ITEM-1","issue":"6","issued":{"date-parts":[["2001","6"]]},"page":"276-84","title":"Bone mineral density in postmenopausal breast cancer survivors.","type":"article-journal","volume":"13"},"uris":["http://www.mendeley.com/documents/?uuid=0db9212a-4d1d-3354-98e2-4a84af362847"]},{"id":"ITEM-2","itemData":{"DOI":"10.1097/01.NCC.0000305722.75647.26","ISSN":"1538-9804","PMID":"18453874","abstract":"Chemotherapy and endocrine treatments for breast cancer are believed to increase risk of osteoporosis by causing early menopause in premenopausal women and by further depleting estrogen levels in postmenopausal women. Multivariate analyses were used to evaluate the contributions of 7 predictors (age, body mass index [BMI], family history of osteoporosis, months since menopause, past use of chemotherapy, and current use of tamoxifen or aromatase inhibitors) in explaining variability in bone mineral density (BMD) at the hip and the spine and bone turnover in 249 postmenopausal women who are breast cancer survivors. This report was an analysis of baseline data from a federally funded (1 R01 NR07743-01A1) intervention study on osteoporosis prevention. Mean age of the women was 58.5 years, and average BMI was 26.7 kg/m; 98% were white. All had measurable bone loss, 167 had chemotherapy, 76 were on tamoxifen, and 21 were on aromatase inhibitors. Women with higher BMI had higher BMD at the hip (P &lt; .001) and the spine (P = .004). Women on tamoxifen had lower measures of bone formation (Alkphase B) (P &lt; .001), suggesting less bone turnover, and higher BMD at the hip (P = .035). There was a trend for women who had received chemotherapy to have lower BMD at the spine (P = .06). The implications of these findings are discussed in the article.","author":[{"dropping-particle":"","family":"Waltman","given":"Nancy L","non-dropping-particle":"","parse-names":false,"suffix":""},{"dropping-particle":"","family":"Ott","given":"Carol D","non-dropping-particle":"","parse-names":false,"suffix":""},{"dropping-particle":"","family":"Twiss","given":"Janice J","non-dropping-particle":"","parse-names":false,"suffix":""},{"dropping-particle":"","family":"Gross","given":"Gloria J","non-dropping-particle":"","parse-names":false,"suffix":""},{"dropping-particle":"","family":"Lindsey","given":"Ada M","non-dropping-particle":"","parse-names":false,"suffix":""},{"dropping-particle":"","family":"Moore","given":"Timothy E","non-dropping-particle":"","parse-names":false,"suffix":""}],"container-title":"Cancer nursing","id":"ITEM-2","issue":"3","issued":{"date-parts":[["2008","5"]]},"page":"182-90","title":"Bone mineral density and bone turnover in postmenopausal women treated for breast cancer.","type":"article-journal","volume":"31"},"uris":["http://www.mendeley.com/documents/?uuid=4df6c5b7-3ff2-341b-b1df-984ed63e2710"]}],"mendeley":{"formattedCitation":"(48,51)","plainTextFormattedCitation":"(48,51)","previouslyFormattedCitation":"(47,50)"},"properties":{"noteIndex":0},"schema":"https://github.com/citation-style-language/schema/raw/master/csl-citation.json"}</w:instrText>
      </w:r>
      <w:r w:rsidRPr="003B4F77">
        <w:rPr>
          <w:rFonts w:ascii="Book Antiqua" w:hAnsi="Book Antiqua" w:cs="Garamond-Light"/>
        </w:rPr>
        <w:fldChar w:fldCharType="separate"/>
      </w:r>
      <w:r w:rsidRPr="003B4F77">
        <w:rPr>
          <w:rFonts w:ascii="Book Antiqua" w:hAnsi="Book Antiqua" w:cs="Garamond-Light"/>
          <w:noProof/>
        </w:rPr>
        <w:t>(48,51)</w:t>
      </w:r>
      <w:r w:rsidRPr="003B4F77">
        <w:rPr>
          <w:rFonts w:ascii="Book Antiqua" w:hAnsi="Book Antiqua" w:cs="Garamond-Light"/>
        </w:rPr>
        <w:fldChar w:fldCharType="end"/>
      </w:r>
      <w:r w:rsidRPr="003B4F77">
        <w:rPr>
          <w:rFonts w:ascii="Book Antiqua" w:hAnsi="Book Antiqua" w:cs="Garamond-Light"/>
        </w:rPr>
        <w:t xml:space="preserve">. In fact, there are several factors that have been associated with the site-specific BMD changes including BMI </w:t>
      </w:r>
      <w:r w:rsidRPr="003B4F77">
        <w:rPr>
          <w:rFonts w:ascii="Book Antiqua" w:hAnsi="Book Antiqua" w:cs="Garamond-Light"/>
        </w:rPr>
        <w:fldChar w:fldCharType="begin" w:fldLock="1"/>
      </w:r>
      <w:r w:rsidRPr="003B4F77">
        <w:rPr>
          <w:rFonts w:ascii="Book Antiqua" w:hAnsi="Book Antiqua" w:cs="Garamond-Light"/>
        </w:rPr>
        <w:instrText>ADDIN CSL_CITATION {"citationItems":[{"id":"ITEM-1","itemData":{"ISSN":"1041-2972","PMID":"11930870","abstract":"PURPOSE The overall purpose of this longitudinal 18-month study was to test the feasibility and effectiveness of a multicomponent intervention for prevention and treatment of osteoporosis. The purpose of this article is to describe the baseline bone mineral density (BMD) findings for 30 postmenopausal women and to compare these BMD findings to time since menopause, body mass index, and tamoxifen use. DATA SOURCES Baseline data of BMD findings for 30 postmenopausal women, who have had a variety of treatments including surgery, adjuvant chemotherapy and or tamoxifen, and are enrolled in the 18-month longitudinal study. A demographic questionnaire and a three day dietary record were used to collect baseline data. CONCLUSIONS Eighty percent of the women with breast cancer history had abnormal BMDs at baseline (t-scores below -1.00 SD). Thinner women showed a greater risk for accelerated trabecular bone loss at the spine and hip. IMPLICATIONS FOR PRACTICE These findings suggest the need for early BMD assessments and for aggressive health promotion intervention strategies that include a multifaceted protocol of drug therapy for bone remodeling, 1500 mg of daily calcium, 400 IU vitamin D and a strength weight training program that is implemented immediately following chemotherapy treatment and menopause in this high risk population of women.","author":[{"dropping-particle":"","family":"Twiss","given":"J J","non-dropping-particle":"","parse-names":false,"suffix":""},{"dropping-particle":"","family":"Waltman","given":"N","non-dropping-particle":"","parse-names":false,"suffix":""},{"dropping-particle":"","family":"Ott","given":"C D","non-dropping-particle":"","parse-names":false,"suffix":""},{"dropping-particle":"","family":"Gross","given":"G J","non-dropping-particle":"","parse-names":false,"suffix":""},{"dropping-particle":"","family":"Lindsey","given":"A M","non-dropping-particle":"","parse-names":false,"suffix":""},{"dropping-particle":"","family":"Moore","given":"T E","non-dropping-particle":"","parse-names":false,"suffix":""}],"container-title":"Journal of the American Academy of Nurse Practitioners","id":"ITEM-1","issue":"6","issued":{"date-parts":[["2001","6"]]},"page":"276-84","title":"Bone mineral density in postmenopausal breast cancer survivors.","type":"article-journal","volume":"13"},"uris":["http://www.mendeley.com/documents/?uuid=0db9212a-4d1d-3354-98e2-4a84af362847"]},{"id":"ITEM-2","itemData":{"DOI":"10.1097/01.NCC.0000305722.75647.26","ISSN":"1538-9804","PMID":"18453874","abstract":"Chemotherapy and endocrine treatments for breast cancer are believed to increase risk of osteoporosis by causing early menopause in premenopausal women and by further depleting estrogen levels in postmenopausal women. Multivariate analyses were used to evaluate the contributions of 7 predictors (age, body mass index [BMI], family history of osteoporosis, months since menopause, past use of chemotherapy, and current use of tamoxifen or aromatase inhibitors) in explaining variability in bone mineral density (BMD) at the hip and the spine and bone turnover in 249 postmenopausal women who are breast cancer survivors. This report was an analysis of baseline data from a federally funded (1 R01 NR07743-01A1) intervention study on osteoporosis prevention. Mean age of the women was 58.5 years, and average BMI was 26.7 kg/m; 98% were white. All had measurable bone loss, 167 had chemotherapy, 76 were on tamoxifen, and 21 were on aromatase inhibitors. Women with higher BMI had higher BMD at the hip (P &lt; .001) and the spine (P = .004). Women on tamoxifen had lower measures of bone formation (Alkphase B) (P &lt; .001), suggesting less bone turnover, and higher BMD at the hip (P = .035). There was a trend for women who had received chemotherapy to have lower BMD at the spine (P = .06). The implications of these findings are discussed in the article.","author":[{"dropping-particle":"","family":"Waltman","given":"Nancy L","non-dropping-particle":"","parse-names":false,"suffix":""},{"dropping-particle":"","family":"Ott","given":"Carol D","non-dropping-particle":"","parse-names":false,"suffix":""},{"dropping-particle":"","family":"Twiss","given":"Janice J","non-dropping-particle":"","parse-names":false,"suffix":""},{"dropping-particle":"","family":"Gross","given":"Gloria J","non-dropping-particle":"","parse-names":false,"suffix":""},{"dropping-particle":"","family":"Lindsey","given":"Ada M","non-dropping-particle":"","parse-names":false,"suffix":""},{"dropping-particle":"","family":"Moore","given":"Timothy E","non-dropping-particle":"","parse-names":false,"suffix":""}],"container-title":"Cancer nursing","id":"ITEM-2","issue":"3","issued":{"date-parts":[["2008","5"]]},"page":"182-90","title":"Bone mineral density and bone turnover in postmenopausal women treated for breast cancer.","type":"article-journal","volume":"31"},"uris":["http://www.mendeley.com/documents/?uuid=4df6c5b7-3ff2-341b-b1df-984ed63e2710"]},{"id":"ITEM-3","itemData":{"DOI":"10.1188/09.ONF.315-325","ISBN":"1538-0688; 0190-535X","PMID":"19596649","abstract":"Purpose/Objectives: To describe risk factors for fracture-bone health and falls-among breast cancer survivors with chemotherapy-induced amenorrhea.Design: Cross-sectional and prospective cohort.Setting: National Cancer Institute-designated cancer center in the Pacific northwest region of the United States.Sample: Breast cancer survivors with chemotherapy-induced amenorrhea (N = 35; X age = 46 years; one year after chemotherapy) compared to cancer-free controls (N = 26; X age = 41 years).Methods: One two-hour testing session at baseline, 12-month follow-up, monthly postcards.Main Research Variables: Clinical characteristics and number of falls, leg strength, bone mineral density (BMD), body composition, and bone turnover.Findings: No significant differences between groups for BMD at either time point. Significantly more breast cancer survivors had low-spine BMD based on T scores and elevated bone turnover versus controls at baseline and follow-up. Breast cancer survivors with low-spine BMD have significantly lower body mass index, lean mass, and leg strength, and had stage II disease more often than breast cancer survivors with normal BMD. Significantly more breast cancer survivors (75%) experienced at least one fall compared to 46% of controls. Among breast cancer survivors, those who had fallen had significantly lower leg strength and calcium intakes than those who had not.Conclusions: Breast cancer survivors with chemotherapy-induced amenorrhea, particularly those with muscle weakness, may be at increased risk of fracture.Implications for Nursing: Breast cancer survivors with chemotherapy-induced amenorrhea should be evaluated for low bone mass and fall risk and considered for therapeutic intervention to lower fracture risk.","author":[{"dropping-particle":"","family":"Winters-Stone","given":"K M","non-dropping-particle":"","parse-names":false,"suffix":""},{"dropping-particle":"","family":"Nail","given":"L","non-dropping-particle":"","parse-names":false,"suffix":""},{"dropping-particle":"","family":"Bennett","given":"J A","non-dropping-particle":"","parse-names":false,"suffix":""},{"dropping-particle":"","family":"Schwartz","given":"A","non-dropping-particle":"","parse-names":false,"suffix":""}],"container-title":"Oncology nursing forum","id":"ITEM-3","issue":"3","issued":{"date-parts":[["2009","5"]]},"note":"JID: 7809033; ppublish","page":"315-325","title":"Bone Health and Falls: Fracture Risk in Breast Cancer Survivors With Chemotherapy-Induced Amenorrhea","type":"article-journal","volume":"36"},"uris":["http://www.mendeley.com/documents/?uuid=1dbca43c-5ab6-4b94-9b09-84c166e84edb"]}],"mendeley":{"formattedCitation":"(48,51,53)","plainTextFormattedCitation":"(48,51,53)","previouslyFormattedCitation":"(47,50,52)"},"properties":{"noteIndex":0},"schema":"https://github.com/citation-style-language/schema/raw/master/csl-citation.json"}</w:instrText>
      </w:r>
      <w:r w:rsidRPr="003B4F77">
        <w:rPr>
          <w:rFonts w:ascii="Book Antiqua" w:hAnsi="Book Antiqua" w:cs="Garamond-Light"/>
        </w:rPr>
        <w:fldChar w:fldCharType="separate"/>
      </w:r>
      <w:r w:rsidRPr="003B4F77">
        <w:rPr>
          <w:rFonts w:ascii="Book Antiqua" w:hAnsi="Book Antiqua" w:cs="Garamond-Light"/>
          <w:noProof/>
        </w:rPr>
        <w:t>(48,51,53)</w:t>
      </w:r>
      <w:r w:rsidRPr="003B4F77">
        <w:rPr>
          <w:rFonts w:ascii="Book Antiqua" w:hAnsi="Book Antiqua" w:cs="Garamond-Light"/>
        </w:rPr>
        <w:fldChar w:fldCharType="end"/>
      </w:r>
      <w:r w:rsidRPr="003B4F77">
        <w:rPr>
          <w:rFonts w:ascii="Book Antiqua" w:hAnsi="Book Antiqua" w:cs="Garamond-Light"/>
        </w:rPr>
        <w:t xml:space="preserve">, LST </w:t>
      </w:r>
      <w:r w:rsidRPr="003B4F77">
        <w:rPr>
          <w:rFonts w:ascii="Book Antiqua" w:hAnsi="Book Antiqua" w:cs="Garamond-Light"/>
        </w:rPr>
        <w:fldChar w:fldCharType="begin" w:fldLock="1"/>
      </w:r>
      <w:r w:rsidRPr="003B4F77">
        <w:rPr>
          <w:rFonts w:ascii="Book Antiqua" w:hAnsi="Book Antiqua" w:cs="Garamond-Light"/>
        </w:rPr>
        <w:instrText>ADDIN CSL_CITATION {"citationItems":[{"id":"ITEM-1","itemData":{"DOI":"10.1186/1471-2474-11-59","ISSN":"1471-2474","PMID":"20346165","abstract":"BACKGROUND The relative contribution of lean and fat to the determination of bone mineral density (BMD) in postmenopausal women is a contentious issue. The present study was undertaken to test the hypothesis that lean mass is a better determinant of BMD than fat mass. METHODS This cross-sectional study involved 210 postmenopausal women of Vietnamese background, aged between 50 and 85 years, who were randomly sampled from various districts in Ho Chi Minh City (Vietnam). Whole body scans, femoral neck, and lumbar spine BMD were measured by DXA (QDR 4500, Hologic Inc., Waltham, MA). Lean mass (LM) and fat mass (FM) were derived from the whole body scan. Furthermore, lean mass index (LMi) and fat mass index (FMi) were calculated as ratio of LM or FM to body height in metre squared (m2). RESULTS In multiple linear regression analysis, both LM and FM were independent and significant predictors of BMD at the spine and femoral neck. Age, lean mass and fat mass collectively explained 33% variance of lumbar spine and 38% variance of femoral neck BMD. Replacing LM and FM by LMi and LMi did not alter the result. In both analyses, the influence of LM or LMi was greater than FM and FMi. Simulation analysis suggested that a study with 1000 individuals has a 78% chance of finding the significant effects of both LM and FM, and a 22% chance of finding LM alone significant, and zero chance of finding the effect of fat mass alone. CONCLUSIONS These data suggest that both lean mass and fat mass are important determinants of BMD. For a given body size -- measured either by lean mass or height --women with greater fat mass have greater BMD.","author":[{"dropping-particle":"","family":"Ho-Pham","given":"Lan T","non-dropping-particle":"","parse-names":false,"suffix":""},{"dropping-particle":"","family":"Nguyen","given":"Nguyen D","non-dropping-particle":"","parse-names":false,"suffix":""},{"dropping-particle":"","family":"Lai","given":"Thai Q","non-dropping-particle":"","parse-names":false,"suffix":""},{"dropping-particle":"V","family":"Nguyen","given":"Tuan","non-dropping-particle":"","parse-names":false,"suffix":""}],"container-title":"BMC Musculoskeletal Disorders","id":"ITEM-1","issue":"1","issued":{"date-parts":[["2010","12","26"]]},"page":"59","title":"Contributions of lean mass and fat mass to bone mineral density: a study in postmenopausal women","type":"article-journal","volume":"11"},"uris":["http://www.mendeley.com/documents/?uuid=8949ba4d-a7d6-34df-b329-5405a6d1e8c0"]}],"mendeley":{"formattedCitation":"(27)","plainTextFormattedCitation":"(27)","previouslyFormattedCitation":"(26)"},"properties":{"noteIndex":0},"schema":"https://github.com/citation-style-language/schema/raw/master/csl-citation.json"}</w:instrText>
      </w:r>
      <w:r w:rsidRPr="003B4F77">
        <w:rPr>
          <w:rFonts w:ascii="Book Antiqua" w:hAnsi="Book Antiqua" w:cs="Garamond-Light"/>
        </w:rPr>
        <w:fldChar w:fldCharType="separate"/>
      </w:r>
      <w:r w:rsidRPr="003B4F77">
        <w:rPr>
          <w:rFonts w:ascii="Book Antiqua" w:hAnsi="Book Antiqua" w:cs="Garamond-Light"/>
          <w:noProof/>
        </w:rPr>
        <w:t>(27)</w:t>
      </w:r>
      <w:r w:rsidRPr="003B4F77">
        <w:rPr>
          <w:rFonts w:ascii="Book Antiqua" w:hAnsi="Book Antiqua" w:cs="Garamond-Light"/>
        </w:rPr>
        <w:fldChar w:fldCharType="end"/>
      </w:r>
      <w:r w:rsidRPr="003B4F77">
        <w:rPr>
          <w:rFonts w:ascii="Book Antiqua" w:hAnsi="Book Antiqua" w:cs="Garamond-Light"/>
        </w:rPr>
        <w:t xml:space="preserve">, postmenopausal status </w:t>
      </w:r>
      <w:r w:rsidRPr="003B4F77">
        <w:rPr>
          <w:rFonts w:ascii="Book Antiqua" w:hAnsi="Book Antiqua" w:cs="Garamond-Light"/>
        </w:rPr>
        <w:fldChar w:fldCharType="begin" w:fldLock="1"/>
      </w:r>
      <w:r w:rsidRPr="003B4F77">
        <w:rPr>
          <w:rFonts w:ascii="Book Antiqua" w:hAnsi="Book Antiqua" w:cs="Garamond-Light"/>
        </w:rPr>
        <w:instrText>ADDIN CSL_CITATION {"citationItems":[{"id":"ITEM-1","itemData":{"DOI":"10.1210/me.2009-0238","ISSN":"1944-9917","PMID":"19910454","abstract":"The osteoprotective action of estrogen in women has drawn considerable attention because estrogen deficiency-induced osteoporosis became one of the most widely spread diseases in developed countries. In men, the significance of estrogen action for bone health maintenance is also apparent from the osteoporotic phenotype seen in male patients with genetically impaired estrogen signaling. Severe bone loss and high bone turnover, including typical osteofeatures seen in postmenopausal women, can also be recapitulated in rodents after ovariectomy. However, the expected osteoporotic phenotype is not observed in female mice deficient in estrogen receptor (ER)-alpha or -beta or both, even though the degenerative defects are clearly seen in other estrogen target tissues together with up-regulated levels of circulating testosterone. It has also been reported that estrogens may attenuate bone remodeling by cell autonomous suppressive effects on osteoblastogenesis and osteoclastogenesis. Hence, the effects of estrogens in bone appear to be complex, and the molecular role of bone estrogen receptors in osteoprotective estrogen action remains unclear. Instead, it has been proposed that estrogens indirectly control bone remodeling. For example, the enhanced production of cytokines under estrogen deficiency induces bone resorption through stimulation of osteoclastogenesis. However, the osteoporotic phenotype without systemic defects has been recapitulated in female (but not in male) mice by osteoclast-specific ablation of the ERalpha, proving that bone cells represent direct targets for estrogen action. An aberrant accumulation of mature osteoclasts in these female mutants indicates that in females, the inhibitory action of estrogens on bone resorption is mediated by the osteoclastic ERalpha through the shortened lifespan of osteoclasts.","author":[{"dropping-particle":"","family":"Imai","given":"Yuuki","non-dropping-particle":"","parse-names":false,"suffix":""},{"dropping-particle":"","family":"Kondoh","given":"Shino","non-dropping-particle":"","parse-names":false,"suffix":""},{"dropping-particle":"","family":"Kouzmenko","given":"Alexander","non-dropping-particle":"","parse-names":false,"suffix":""},{"dropping-particle":"","family":"Kato","given":"Shigeaki","non-dropping-particle":"","parse-names":false,"suffix":""}],"container-title":"Molecular endocrinology (Baltimore, Md.)","id":"ITEM-1","issue":"5","issued":{"date-parts":[["2010","5"]]},"page":"877-85","title":"Minireview: osteoprotective action of estrogens is mediated by osteoclastic estrogen receptor-alpha.","type":"article-journal","volume":"24"},"uris":["http://www.mendeley.com/documents/?uuid=b6acedc0-70b6-3a80-9ffc-dc246658cf15"]}],"mendeley":{"formattedCitation":"(30)","plainTextFormattedCitation":"(30)","previouslyFormattedCitation":"(29)"},"properties":{"noteIndex":0},"schema":"https://github.com/citation-style-language/schema/raw/master/csl-citation.json"}</w:instrText>
      </w:r>
      <w:r w:rsidRPr="003B4F77">
        <w:rPr>
          <w:rFonts w:ascii="Book Antiqua" w:hAnsi="Book Antiqua" w:cs="Garamond-Light"/>
        </w:rPr>
        <w:fldChar w:fldCharType="separate"/>
      </w:r>
      <w:r w:rsidRPr="003B4F77">
        <w:rPr>
          <w:rFonts w:ascii="Book Antiqua" w:hAnsi="Book Antiqua" w:cs="Garamond-Light"/>
          <w:noProof/>
        </w:rPr>
        <w:t>(30)</w:t>
      </w:r>
      <w:r w:rsidRPr="003B4F77">
        <w:rPr>
          <w:rFonts w:ascii="Book Antiqua" w:hAnsi="Book Antiqua" w:cs="Garamond-Light"/>
        </w:rPr>
        <w:fldChar w:fldCharType="end"/>
      </w:r>
      <w:r w:rsidRPr="003B4F77">
        <w:rPr>
          <w:rFonts w:ascii="Book Antiqua" w:hAnsi="Book Antiqua" w:cs="Garamond-Light"/>
        </w:rPr>
        <w:t xml:space="preserve"> and a longer time since diagnosis </w:t>
      </w:r>
      <w:r w:rsidRPr="003B4F77">
        <w:rPr>
          <w:rFonts w:ascii="Book Antiqua" w:hAnsi="Book Antiqua" w:cs="Garamond-Light"/>
        </w:rPr>
        <w:fldChar w:fldCharType="begin" w:fldLock="1"/>
      </w:r>
      <w:r w:rsidRPr="003B4F77">
        <w:rPr>
          <w:rFonts w:ascii="Book Antiqua" w:hAnsi="Book Antiqua" w:cs="Garamond-Light"/>
        </w:rPr>
        <w:instrText>ADDIN CSL_CITATION {"citationItems":[{"id":"ITEM-1","itemData":{"DOI":"10.1007/s00198-008-0562-x","ISSN":"0937-941X","PMID":"18305885","abstract":"UNLABELLED In this 15-year follow-up study, we found that the estimated rate of bone loss at the femoral neck (FN) for women aged 45-68 was linear at a rate of 1.67% per year, but quadratic for lumbar spine (LS) at a rate of 3.12% initially, and slowing down with age. We also confirmed the protective role of HRT, increasing weight, and lean mass in long-term bone loss. INTRODUCTION The objective was to describe the natural history of bone loss and explore the role of environmental factors in postmenopausal women over a 15-year period. METHODS Bone mineral density (BMD) at the FN and the LS were measured in postmenopausal women from the Chingford Study. Height, weight, HRT status, and calcium/vitamin D supplement were assessed at each visit. Osteoarthritis of hip and spine was assessed by X-ray at baseline and at year 8. RESULTS A total of 955 postmenopausal women with an average age of 54.7 at baseline were included. Both FN and LS BMD decreased significantly with age (p&lt;0.0001). The decline was larger in the LS (-3.12% per year), which showed a quadratic relationship, than in the FN (-1.67% per year) with a linear relationship. The rate of bone loss was reduced by one third annually for the FN and LS respectively in current HRT users. Change in weight was positively associated with both DeltaFN and DeltaLS BMD (beta=0.16% and 0.09% change in DeltaFN and DeltaLS BMD per kilogramme change in weight respectively, p&lt;0.0001 for both sites). Spine OA and progression were positively associated with DeltaLS BMD (beta=1.22% change in DeltaLS BMD per grade in spine OA and 0.45% change in DeltaLS BMD for patients who progressed, p&lt;0.0001 for spine OA and p=0.002 for spine OA progression). Spine OA (beta=0.54% change in DeltaFN BMD per grade, p&lt;0.0001), but not progression, and hip OA were positively associated with DeltaFN BMD. Furthermore, both age and body weight at baseline were positively associated with both DeltaFN and DeltaLS BMD (beta=0.02-0.04% change in DeltaFN and DeltaLS BMD per year increase in age at baseline and 0.004-0.007% change in DeltaFN and DeltaLS BMD per kilogramme increase in weight at baseline, all p&lt;0.0001). CONCLUSION This large population-based longitudinal study demonstrated that the decline of BMD over 15 years is linear with age for the FN, but quadratic for the LS. The study confirmed the protective role of HRT, increased weight and lean mass in long-term bone loss.","author":[{"dropping-particle":"","family":"Zhai","given":"G","non-dropping-particle":"","parse-names":false,"suffix":""},{"dropping-particle":"","family":"Hart","given":"D J","non-dropping-particle":"","parse-names":false,"suffix":""},{"dropping-particle":"","family":"Valdes","given":"A M","non-dropping-particle":"","parse-names":false,"suffix":""},{"dropping-particle":"","family":"Kato","given":"B S","non-dropping-particle":"","parse-names":false,"suffix":""},{"dropping-particle":"","family":"Richards","given":"J B","non-dropping-particle":"","parse-names":false,"suffix":""},{"dropping-particle":"","family":"Hakim","given":"A","non-dropping-particle":"","parse-names":false,"suffix":""},{"dropping-particle":"","family":"Spector","given":"T D","non-dropping-particle":"","parse-names":false,"suffix":""}],"container-title":"Osteoporosis international : a journal established as result of cooperation between the European Foundation for Osteoporosis and the National Osteoporosis Foundation of the USA","id":"ITEM-1","issue":"8","issued":{"date-parts":[["2008","8","28"]]},"page":"1211-7","title":"Natural history and risk factors for bone loss in postmenopausal Caucasian women: a 15-year follow-up population-based study.","type":"article-journal","volume":"19"},"uris":["http://www.mendeley.com/documents/?uuid=22008069-3396-39cf-a64a-6f8e75c242be"]},{"id":"ITEM-2","itemData":{"DOI":"10.1159/000337763","ISSN":"1661-3805","PMID":"22740798","abstract":"BACKGROUND: The aim of this study was to investigate the prevalence of low bone mineral density (BMD) and associated factors in middle-aged breast cancer survivors (BCS). PATIENTS AND METHODS: A cross-sectional study was conducted with 70 BCS of 45-65 years of age undergoing complete oncology treatment. Logistic regression models were used to identify factors associated with low BMD (osteopenia and osteoporosis taken together as a single group). RESULTS: The mean age of participants was 53.2 ± 5.9 years. BMD was low at the femoral neck in 28.6% of patients and at the lumbar spine in 45.7%. Body mass index ≤ 30 kg/m(2) (adjusted odds ratio (OR) 3.43; 95% confidence interval (CI) 1.0-11.3) and postmenopausal status (OR adjusted 20.42; 95% CI 2.0-201.2) were associated with low BMD at the lumbar spine. Femoral neck measurements, age &gt; 50 years (OR 3.41; 95% CI 1.0-11.6), and time since diagnosis &gt; 50 months (OR adjusted 3.34; 95% CI 1.0-11.3) increased the likelihood of low BMD. CONCLUSION: These findings show that low BMD is common in middle-aged BCS. Factors were identified that may affect BMD in BCS and should be considered when implementing strategies to minimize bone loss in middle-aged women with breast cancer.","author":[{"dropping-particle":"","family":"Conde","given":"Délio Marques","non-dropping-particle":"","parse-names":false,"suffix":""},{"dropping-particle":"","family":"Costa-Paiva","given":"Lúcia","non-dropping-particle":"","parse-names":false,"suffix":""},{"dropping-particle":"","family":"Martinez","given":"Edson Zangiacomi","non-dropping-particle":"","parse-names":false,"suffix":""},{"dropping-particle":"","family":"Pinto-Neto","given":"Aarão Mendes","non-dropping-particle":"","parse-names":false,"suffix":""}],"container-title":"Breast Care","id":"ITEM-2","issue":"2","issued":{"date-parts":[["2012","4"]]},"page":"121-125","title":"Low Bone Mineral Density in Middle-Aged Breast Cancer Survivors: Prevalence and Associated Factors","type":"article-journal","volume":"7"},"uris":["http://www.mendeley.com/documents/?uuid=64f9aec9-56f9-37fc-b071-64026ec938b4"]}],"mendeley":{"formattedCitation":"(11,54)","plainTextFormattedCitation":"(11,54)","previouslyFormattedCitation":"(11,53)"},"properties":{"noteIndex":0},"schema":"https://github.com/citation-style-language/schema/raw/master/csl-citation.json"}</w:instrText>
      </w:r>
      <w:r w:rsidRPr="003B4F77">
        <w:rPr>
          <w:rFonts w:ascii="Book Antiqua" w:hAnsi="Book Antiqua" w:cs="Garamond-Light"/>
        </w:rPr>
        <w:fldChar w:fldCharType="separate"/>
      </w:r>
      <w:r w:rsidRPr="003B4F77">
        <w:rPr>
          <w:rFonts w:ascii="Book Antiqua" w:hAnsi="Book Antiqua" w:cs="Garamond-Light"/>
          <w:noProof/>
        </w:rPr>
        <w:t>(11,54)</w:t>
      </w:r>
      <w:r w:rsidRPr="003B4F77">
        <w:rPr>
          <w:rFonts w:ascii="Book Antiqua" w:hAnsi="Book Antiqua" w:cs="Garamond-Light"/>
        </w:rPr>
        <w:fldChar w:fldCharType="end"/>
      </w:r>
      <w:r w:rsidRPr="003B4F77">
        <w:rPr>
          <w:rFonts w:ascii="Book Antiqua" w:hAnsi="Book Antiqua" w:cs="Garamond-Light"/>
        </w:rPr>
        <w:t xml:space="preserve">. Despite the lack of group differences, our findings highlight the prevalence of low BMD in postmenopausal women regardless of cancer diagnosis that is consistent with existing literature. Although several exercise and/or nutritional interventions have been conducted to address low BMD in BCS </w:t>
      </w:r>
      <w:r w:rsidRPr="003B4F77">
        <w:rPr>
          <w:rFonts w:ascii="Book Antiqua" w:hAnsi="Book Antiqua" w:cs="Garamond-Light"/>
        </w:rPr>
        <w:fldChar w:fldCharType="begin" w:fldLock="1"/>
      </w:r>
      <w:r w:rsidRPr="003B4F77">
        <w:rPr>
          <w:rFonts w:ascii="Book Antiqua" w:hAnsi="Book Antiqua" w:cs="Garamond-Light"/>
        </w:rPr>
        <w:instrText>ADDIN CSL_CITATION {"citationItems":[{"id":"ITEM-1","itemData":{"DOI":"10.1139/apnm-2013-0281 [doi]","ISBN":"1715-5320","PMID":"24869977","abstract":"The purpose of this study was to examine the effects of resistance training (RT) and dried plum (DP) consumption on strength, body composition, blood markers of bone, and inflammation in breast cancer survivors (BCS). Twenty-three BCS (RT, n = 12; RT+DP, n = 11), aged 64 +/- 7 years, were evaluated at baseline and after 6 months of intervention on the following: muscular strength (chest press and leg extension) via 1-repetition maximums (1RMs); body composition, specifically bone mineral density (BMD) by dual energy X-ray absorptiometry; biochemical markers of bone turnover (bone-specific alkaline phosphatase (BAP), tartrate resistant acid phosphatase (TRAP-5b)); and inflammation (C-reactive protein (CRP)). Target RT prescription was 2 days/week of 10 exercises, including 2 sets of 8-12 repetitions at approximately 60%-80% of 1RM. RT+DP also consumed 90 g of DP daily. There were no baseline differences between groups or any group-by-time interactions for any of the variables. BCS increased upper (p &lt; 0.05) (RT: 64 +/- 14 to 80 +/- 17 kg; RT+DP: 72 +/- 23 to 91 +/- 20 kg) and lower (p &lt; 0.05) (RT: 69 +/- 20 to 87 +/- 28 kg; RT+DP: 78 +/- 19 to 100 +/- 21 kg) body strength. Body composition and BMD improvements were not observed. TRAP-5b decreased in the RT group (p &lt; 0.05) (4.55 +/- 1.57 to 4.04 +/- 1.63 U/L) and the RT+DP group (p = 0.07) (5.10 +/- 2.75 to 4.27 +/- 2.03 U/L). Changes in BAP and CRP were not observed. RT was effective for improving biochemical markers of bone turnover and muscular strength in BCS. A longer and higher intensity intervention may be needed to reveal the true effects of RT and DP on body composition and biochemical markers of inflammation.","author":[{"dropping-particle":"","family":"Simonavice","given":"E","non-dropping-particle":"","parse-names":false,"suffix":""},{"dropping-particle":"","family":"Liu","given":"P Y","non-dropping-particle":"","parse-names":false,"suffix":""},{"dropping-particle":"","family":"Ilich","given":"J Z","non-dropping-particle":"","parse-names":false,"suffix":""},{"dropping-particle":"","family":"Kim","given":"J S","non-dropping-particle":"","parse-names":false,"suffix":""},{"dropping-particle":"","family":"Arjmandi","given":"B","non-dropping-particle":"","parse-names":false,"suffix":""},{"dropping-particle":"","family":"Panton","given":"L B","non-dropping-particle":"","parse-names":false,"suffix":""}],"container-title":"Applied physiology, nutrition, and metabolism = Physiologie appliquee, nutrition et metabolisme","id":"ITEM-1","issue":"6","issued":{"date-parts":[["2014","6"]]},"note":"JID: 101264333; OTO: NOTNLM; 2013/09/23 [aheadofprint]; ppublish","page":"730-739","title":"The effects of a 6-month resistance training and dried plum consumption intervention on strength, body composition, blood markers of bone turnover, and inflammation in breast cancer survivors","type":"article-journal","volume":"39"},"uris":["http://www.mendeley.com/documents/?uuid=f40c0bc5-4d9d-4d80-97e0-cd61f522e786"]},{"id":"ITEM-2","itemData":{"DOI":"10.1007/s11764-013-0337-z [doi]","ISBN":"1932-2267; 1932-2259","PMID":"24390808","abstract":"PURPOSE: This study aimed to determine whether the Physical Activity and Lymphedema (PAL) trial weight training program for breast cancer survivors at risk of or with breast cancer-related lymphedema provided skeletal benefits. METHODS: Of the 295 participants in the randomized controlled PAL trial, 258 (weight training; N = 128; control, N = 130) had complete measures of bone mineral density (BMD (in grams per square centimeter)) of the proximal femur and lumbar spine and were also categorized by T scores. Women in the weight training group performed slowly progressive weight training 2 days/week for 12 months compared to women in the control group who maintained their usual physical activities. RESULTS: There were no significant differences in the rate of BMD change at any skeletal site between weight training and control groups, regardless of menopausal status. Distribution of bone health categories was not significantly different between groups at baseline, but became different at 12 months (p &lt; 0.03) among postmenopausal women due to an increase in the percentage of controls who became osteopenic (35 to 44%) compared to stable bone health in weight lifters. CONCLUSIONS: The PAL weight training program that increased muscle strength without exacerbating or causing lymphedema among breast cancer survivors was not as efficacious at improving skeletal health. The skeletal loads produced from the PAL program may be insufficient to notably shift BMD, but may have a subtle osteogenic effect. IMPLICATIONS FOR CANCER SURVIVORS: The safety and efficacy of rigorous weight training programs for improving skeletal health in women at risk for or with breast cancer-related lymphedema remain to be determined.","author":[{"dropping-particle":"","family":"Winters-Stone","given":"K M","non-dropping-particle":"","parse-names":false,"suffix":""},{"dropping-particle":"","family":"Laudermilk","given":"M","non-dropping-particle":"","parse-names":false,"suffix":""},{"dropping-particle":"","family":"Woo","given":"K","non-dropping-particle":"","parse-names":false,"suffix":""},{"dropping-particle":"","family":"Brown","given":"J C","non-dropping-particle":"","parse-names":false,"suffix":""},{"dropping-particle":"","family":"Schmitz","given":"K H","non-dropping-particle":"","parse-names":false,"suffix":""}],"container-title":"Journal of cancer survivorship : research and practice","id":"ITEM-2","issue":"2","issued":{"date-parts":[["2014","6"]]},"note":"GR: R01 CA106851/CA/NCI NIH HHS/United States; GR: R01-CA106851/CA/NCI NIH HHS/United States; GR: UL1RR024134/RR/NCRR NIH HHS/United States; JID: 101307557; 2013/11/07 [received]; 2013/12/16 [accepted]; 2014/01/04 [aheadofprint]; ppublish","page":"260-268","title":"Influence of weight training on skeletal health of breast cancer survivors with or at risk for breast cancer-related lymphedema","type":"article-journal","volume":"8"},"uris":["http://www.mendeley.com/documents/?uuid=406f2b55-07f9-4b34-9e7c-7fac18b0ad4e"]}],"mendeley":{"formattedCitation":"(45,52)","plainTextFormattedCitation":"(45,52)","previouslyFormattedCitation":"(44,51)"},"properties":{"noteIndex":0},"schema":"https://github.com/citation-style-language/schema/raw/master/csl-citation.json"}</w:instrText>
      </w:r>
      <w:r w:rsidRPr="003B4F77">
        <w:rPr>
          <w:rFonts w:ascii="Book Antiqua" w:hAnsi="Book Antiqua" w:cs="Garamond-Light"/>
        </w:rPr>
        <w:fldChar w:fldCharType="separate"/>
      </w:r>
      <w:r w:rsidRPr="003B4F77">
        <w:rPr>
          <w:rFonts w:ascii="Book Antiqua" w:hAnsi="Book Antiqua" w:cs="Garamond-Light"/>
          <w:noProof/>
        </w:rPr>
        <w:t>(45,52)</w:t>
      </w:r>
      <w:r w:rsidRPr="003B4F77">
        <w:rPr>
          <w:rFonts w:ascii="Book Antiqua" w:hAnsi="Book Antiqua" w:cs="Garamond-Light"/>
        </w:rPr>
        <w:fldChar w:fldCharType="end"/>
      </w:r>
      <w:r w:rsidRPr="003B4F77">
        <w:rPr>
          <w:rFonts w:ascii="Book Antiqua" w:hAnsi="Book Antiqua" w:cs="Garamond-Light"/>
        </w:rPr>
        <w:t xml:space="preserve"> and cancer-free postmenopausal women </w:t>
      </w:r>
      <w:r w:rsidRPr="003B4F77">
        <w:rPr>
          <w:rFonts w:ascii="Book Antiqua" w:hAnsi="Book Antiqua" w:cs="Garamond-Light"/>
        </w:rPr>
        <w:fldChar w:fldCharType="begin" w:fldLock="1"/>
      </w:r>
      <w:r w:rsidRPr="003B4F77">
        <w:rPr>
          <w:rFonts w:ascii="Book Antiqua" w:hAnsi="Book Antiqua" w:cs="Garamond-Light"/>
        </w:rPr>
        <w:instrText>ADDIN CSL_CITATION {"citationItems":[{"id":"ITEM-1","itemData":{"ISBN":"0195-9131; 0195-9131","PMID":"11782642","abstract":"PURPOSE: This investigation examined the effect of 6 months of high- or low-intensity resistance exercise (REX) on bone mineral density (BMD) and biochemical markers of bone turnover in adults aged 60-83 yr. METHODS: Sixty-two men and women (68.4 +/- 6 yr) were stratified for strength and randomly assigned to a control (CON, N = 16), low-intensity (LEX, N = 24), or high-intensity (HEX, N = 22) group. Subjects participated in 6 months of progressive REX training. Subjects trained at either 50% of their one repetition maximum (1-RM) for 13 repetitions (LEX) or 80% of 1-RM for 8 repetitions (HEX) 3 times x wk(-1) for 24 wk. One set each of 12 exercises was performed. 1-RM was measured for eight exercises. BMD was measured for total body, femoral neck, and lumbar spine by dual energy x-ray absorptiometry (DXA). Serum levels of bone-specific alkaline phosphatase (BAP), osteocalcin (OC), and pyridinoline cross-links (PYD) were measured. RESULTS: 1-RM significantly increased for all exercises tested for both the HEX and LEX groups (P &lt; and = 0.050). The percent increases in total strength (sum of all eight 1-RMs) were 17.2% and 17.8% for the LEX and HEX groups, respectively. Bone mineral density (BMD) of the femoral neck significantly (P &lt; 0.05) increased by 1.96% for the HEX group. No other significant changes for BMD were found. OC increased by 25.1% and 39.0% for the LEX and HEX groups, respectively (P &lt; 0.05). BAP significantly (P &lt; 0.05) increased 7.1% for the HEX group. CONCLUSION: These data indicate high-intensity REX training was successful for improving BMD of the femoral neck in healthy elderly subjects. Also, these data suggest REX increased bone turnover, which over time may lead to further changes in BMD.","author":[{"dropping-particle":"","family":"Vincent","given":"K R","non-dropping-particle":"","parse-names":false,"suffix":""},{"dropping-particle":"","family":"Braith","given":"R W","non-dropping-particle":"","parse-names":false,"suffix":""}],"container-title":"Medicine and science in sports and exercise","id":"ITEM-1","issue":"1","issued":{"date-parts":[["2002","1"]]},"note":"LR: 20041117; JID: 8005433; 0 (Amino Acids); 0 (Biological Markers); 104982-03-8 (Osteocalcin); 63800-01-1 (pyridinoline); EC 3.1.3.1 (Alkaline Phosphatase); ppublish","page":"17-23","title":"Resistance exercise and bone turnover in elderly men and women","type":"article-journal","volume":"34"},"uris":["http://www.mendeley.com/documents/?uuid=09b89f7d-8bbd-4145-8865-a3aa8c13fdc1"]},{"id":"ITEM-2","itemData":{"DOI":"10.1017/S000711451100119X","ISSN":"0007-1145","PMID":"21736808","abstract":"&lt;p&gt; Aside from existing drug therapies, certain lifestyle and nutritional factors are known to reduce the risk of osteoporosis. Among the nutritional factors, dried plum or prunes ( &lt;italic&gt;Prunus domestica&lt;/italic&gt; L.) is the most effective fruit in both preventing and reversing bone loss. The objective of the present study was to examine the extent to which dried plum reverses bone loss in osteopenic postmenopausal women. We recruited 236 women, 1–10 years postmenopausal, not on hormone replacement therapy or any other prescribed medication known to influence bone metabolism. Qualified participants ( &lt;italic&gt;n&lt;/italic&gt; 160) were randomly assigned to one of the two treatment groups: dried plum (100 g/d) or dried apple (comparative control). Participants received 500 mg Ca plus 400 IU (10 μg) vitamin D daily. Bone mineral density (BMD) of lumbar spine, forearm, hip and whole body was assessed at baseline and at the end of the study using dual-energy X-ray absorptiometry. Blood samples were collected at baseline, 3, 6 and 12 months to assess bone biomarkers. Physical activity recall and 1-week FFQ were obtained at baseline, 3, 6 and 12 months to examine physical activity and dietary confounders as potential covariates. Dried plum significantly increased BMD of ulna and spine in comparison with dried apple. In comparison with corresponding baseline values, only dried plum significantly decreased serum levels of bone turnover markers including bone-specific alkaline phosphatase and tartrate-resistant acid phosphatase-5b. The findings of the present study confirmed the ability of dried plum in improving BMD in postmenopausal women in part due to suppressing the rate of bone turnover. &lt;/p&gt;","author":[{"dropping-particle":"","family":"Hooshmand","given":"Shirin","non-dropping-particle":"","parse-names":false,"suffix":""},{"dropping-particle":"","family":"Chai","given":"Sheau C.","non-dropping-particle":"","parse-names":false,"suffix":""},{"dropping-particle":"","family":"Saadat","given":"Raz L.","non-dropping-particle":"","parse-names":false,"suffix":""},{"dropping-particle":"","family":"Payton","given":"Mark E.","non-dropping-particle":"","parse-names":false,"suffix":""},{"dropping-particle":"","family":"Brummel-Smith","given":"Kenneth","non-dropping-particle":"","parse-names":false,"suffix":""},{"dropping-particle":"","family":"Arjmandi","given":"Bahram H.","non-dropping-particle":"","parse-names":false,"suffix":""}],"container-title":"British Journal of Nutrition","id":"ITEM-2","issue":"6","issued":{"date-parts":[["2011","9","28"]]},"page":"923-930","title":"Comparative effects of dried plum and dried apple on bone in postmenopausal women","type":"article-journal","volume":"106"},"uris":["http://www.mendeley.com/documents/?uuid=15ac38b1-c3f7-3b5a-b9f7-07a4bceadcc9"]},{"id":"ITEM-3","itemData":{"DOI":"10.1089/152460902753473471","ISSN":"1524-6094","author":[{"dropping-particle":"","family":"Arjmandi","given":"Bahram H.","non-dropping-particle":"","parse-names":false,"suffix":""},{"dropping-particle":"","family":"Khalil","given":"Dania A.","non-dropping-particle":"","parse-names":false,"suffix":""},{"dropping-particle":"","family":"Lucas","given":"Edralin A.","non-dropping-particle":"","parse-names":false,"suffix":""},{"dropping-particle":"","family":"Georgis","given":"Amanda","non-dropping-particle":"","parse-names":false,"suffix":""},{"dropping-particle":"","family":"Stoecker","given":"Barbara J.","non-dropping-particle":"","parse-names":false,"suffix":""},{"dropping-particle":"","family":"Hardin","given":"Claudia","non-dropping-particle":"","parse-names":false,"suffix":""},{"dropping-particle":"","family":"Payton","given":"Mark E.","non-dropping-particle":"","parse-names":false,"suffix":""},{"dropping-particle":"","family":"Wild","given":"Robert A.","non-dropping-particle":"","parse-names":false,"suffix":""}],"container-title":"Journal of Women's Health &amp; Gender-Based Medicine","id":"ITEM-3","issue":"1","issued":{"date-parts":[["2002","1"]]},"page":"61-68","title":"Dried Plums Improve Indices of Bone Formation in Postmenopausal Women","type":"article-journal","volume":"11"},"uris":["http://www.mendeley.com/documents/?uuid=9e99f805-188d-34e1-b72a-576dff8496d1"]}],"mendeley":{"formattedCitation":"(2,28,50)","plainTextFormattedCitation":"(2,28,50)","previouslyFormattedCitation":"(2,27,49)"},"properties":{"noteIndex":0},"schema":"https://github.com/citation-style-language/schema/raw/master/csl-citation.json"}</w:instrText>
      </w:r>
      <w:r w:rsidRPr="003B4F77">
        <w:rPr>
          <w:rFonts w:ascii="Book Antiqua" w:hAnsi="Book Antiqua" w:cs="Garamond-Light"/>
        </w:rPr>
        <w:fldChar w:fldCharType="separate"/>
      </w:r>
      <w:r w:rsidRPr="003B4F77">
        <w:rPr>
          <w:rFonts w:ascii="Book Antiqua" w:hAnsi="Book Antiqua" w:cs="Garamond-Light"/>
          <w:noProof/>
        </w:rPr>
        <w:t>(2,28,50)</w:t>
      </w:r>
      <w:r w:rsidRPr="003B4F77">
        <w:rPr>
          <w:rFonts w:ascii="Book Antiqua" w:hAnsi="Book Antiqua" w:cs="Garamond-Light"/>
        </w:rPr>
        <w:fldChar w:fldCharType="end"/>
      </w:r>
      <w:r w:rsidRPr="003B4F77">
        <w:rPr>
          <w:rFonts w:ascii="Book Antiqua" w:hAnsi="Book Antiqua" w:cs="Garamond-Light"/>
        </w:rPr>
        <w:t xml:space="preserve">, more work is needed in this area. Particularly since low BMD is associated with up to a 4.0 fold increase in the rate of fractures in postmenopausal women </w:t>
      </w:r>
      <w:r w:rsidRPr="003B4F77">
        <w:rPr>
          <w:rFonts w:ascii="Book Antiqua" w:hAnsi="Book Antiqua" w:cs="Garamond-Light"/>
        </w:rPr>
        <w:fldChar w:fldCharType="begin" w:fldLock="1"/>
      </w:r>
      <w:r w:rsidRPr="003B4F77">
        <w:rPr>
          <w:rFonts w:ascii="Book Antiqua" w:hAnsi="Book Antiqua" w:cs="Garamond-Light"/>
        </w:rPr>
        <w:instrText>ADDIN CSL_CITATION {"citationItems":[{"id":"ITEM-1","itemData":{"ISSN":"0098-7484","PMID":"11735756","abstract":"CONTEXT Large segments of the population at risk for osteoporosis and fracture have not been evaluated, and the usefulness of peripheral measurements for short-term prediction of fracture risk is uncertain. OBJECTIVES To describe the occurrence of low bone mineral density (BMD) in postmenopausal women, its risk factors, and fracture incidence during short-term follow-up. DESIGN The National Osteoporosis Risk Assessment, a longitudinal observational study initiated September 1997 to March 1999, with approximately 12 months of subsequent follow-up. SETTING AND PARTICIPANTS A total of 200 160 ambulatory postmenopausal women aged 50 years or older with no previous osteoporosis diagnosis, derived from 4236 primary care practices in 34 states. MAIN OUTCOME MEASURES Baseline BMD T scores, obtained from peripheral bone densitometry performed at the heel, finger, or forearm; risk factors for low BMD, derived from questionnaire responses; and clinical fracture rates at 12-month follow-up. RESULTS Using World Health Organization criteria, 39.6% had osteopenia (T score of -1 to -2.49) and 7.2% had osteoporosis (T score &lt;/=-2.5). Age, personal or family history of fracture, Asian or Hispanic heritage, smoking, and cortisone use were associated with significantly increased likelihood of osteoporosis; higher body mass index, African American heritage, estrogen or diuretic use, exercise, and alcohol consumption significantly decreased the likelihood. Among the 163 979 participants with follow-up information, osteoporosis was associated with a fracture rate approximately 4 times that of normal BMD (rate ratio, 4.03; 95% confidence interval [CI], 3.59-4.53) and osteopenia was associated with a 1.8-fold higher rate (95% CI, 1.49-2.18). CONCLUSIONS Almost half of this population had previously undetected low BMD, including 7% with osteoporosis. Peripheral BMD results were highly predictive of fracture risk. Given the economic and social costs of osteoporotic fractures, strategies to identify and manage osteoporosis in the primary care setting need to be established and implemented.","author":[{"dropping-particle":"","family":"Siris","given":"E S","non-dropping-particle":"","parse-names":false,"suffix":""},{"dropping-particle":"","family":"Miller","given":"P D","non-dropping-particle":"","parse-names":false,"suffix":""},{"dropping-particle":"","family":"Barrett-Connor","given":"E","non-dropping-particle":"","parse-names":false,"suffix":""},{"dropping-particle":"","family":"Faulkner","given":"K G","non-dropping-particle":"","parse-names":false,"suffix":""},{"dropping-particle":"","family":"Wehren","given":"L E","non-dropping-particle":"","parse-names":false,"suffix":""},{"dropping-particle":"","family":"Abbott","given":"T A","non-dropping-particle":"","parse-names":false,"suffix":""},{"dropping-particle":"","family":"Berger","given":"M L","non-dropping-particle":"","parse-names":false,"suffix":""},{"dropping-particle":"","family":"Santora","given":"A C","non-dropping-particle":"","parse-names":false,"suffix":""},{"dropping-particle":"","family":"Sherwood","given":"L M","non-dropping-particle":"","parse-names":false,"suffix":""}],"container-title":"JAMA","id":"ITEM-1","issue":"22","issued":{"date-parts":[["2001","12","12"]]},"page":"2815-22","title":"Identification and fracture outcomes of undiagnosed low bone mineral density in postmenopausal women: results from the National Osteoporosis Risk Assessment.","type":"article-journal","volume":"286"},"uris":["http://www.mendeley.com/documents/?uuid=dc120934-e44d-341a-ab7b-234339111103"]}],"mendeley":{"formattedCitation":"(46)","plainTextFormattedCitation":"(46)","previouslyFormattedCitation":"(45)"},"properties":{"noteIndex":0},"schema":"https://github.com/citation-style-language/schema/raw/master/csl-citation.json"}</w:instrText>
      </w:r>
      <w:r w:rsidRPr="003B4F77">
        <w:rPr>
          <w:rFonts w:ascii="Book Antiqua" w:hAnsi="Book Antiqua" w:cs="Garamond-Light"/>
        </w:rPr>
        <w:fldChar w:fldCharType="separate"/>
      </w:r>
      <w:r w:rsidRPr="003B4F77">
        <w:rPr>
          <w:rFonts w:ascii="Book Antiqua" w:hAnsi="Book Antiqua" w:cs="Garamond-Light"/>
          <w:noProof/>
        </w:rPr>
        <w:t>(46)</w:t>
      </w:r>
      <w:r w:rsidRPr="003B4F77">
        <w:rPr>
          <w:rFonts w:ascii="Book Antiqua" w:hAnsi="Book Antiqua" w:cs="Garamond-Light"/>
        </w:rPr>
        <w:fldChar w:fldCharType="end"/>
      </w:r>
      <w:r w:rsidRPr="003B4F77">
        <w:rPr>
          <w:rFonts w:ascii="Book Antiqua" w:hAnsi="Book Antiqua" w:cs="Garamond-Light"/>
        </w:rPr>
        <w:t xml:space="preserve">. Interestingly, only one BCS had sarcopenic obesity in our study. This low prevalence, although positive, may be due to our small sample size, with the majority of our BCS being greater than </w:t>
      </w:r>
      <w:r w:rsidRPr="003B4F77">
        <w:rPr>
          <w:rFonts w:ascii="Book Antiqua" w:hAnsi="Book Antiqua" w:cs="Garamond-Light"/>
        </w:rPr>
        <w:lastRenderedPageBreak/>
        <w:t xml:space="preserve">5 years post treatment and being primarily diagnosed with stage I (62%). Thus, they may not experience the decrements that recent survivors and more advanced stage BCS may experience.  </w:t>
      </w:r>
    </w:p>
    <w:p w:rsidR="001C6FA6" w:rsidRPr="003B4F77" w:rsidRDefault="001C6FA6" w:rsidP="001C6FA6">
      <w:pPr>
        <w:jc w:val="both"/>
        <w:rPr>
          <w:rFonts w:ascii="Book Antiqua" w:hAnsi="Book Antiqua" w:cs="Garamond-Light"/>
          <w:sz w:val="22"/>
          <w:szCs w:val="20"/>
        </w:rPr>
      </w:pPr>
    </w:p>
    <w:p w:rsidR="001C6FA6" w:rsidRPr="003B4F77" w:rsidRDefault="001C6FA6" w:rsidP="001C6FA6">
      <w:pPr>
        <w:autoSpaceDE w:val="0"/>
        <w:autoSpaceDN w:val="0"/>
        <w:adjustRightInd w:val="0"/>
        <w:jc w:val="both"/>
        <w:rPr>
          <w:rFonts w:ascii="Book Antiqua" w:hAnsi="Book Antiqua" w:cs="Garamond-Light"/>
          <w:sz w:val="22"/>
          <w:szCs w:val="20"/>
        </w:rPr>
      </w:pPr>
      <w:r w:rsidRPr="003B4F77">
        <w:rPr>
          <w:rFonts w:ascii="Book Antiqua" w:hAnsi="Book Antiqua" w:cs="Garamond-Light"/>
        </w:rPr>
        <w:t xml:space="preserve">Although not all BCS are overweight and obese, it is has been consistently reported that BCS experience significant weight gain </w:t>
      </w:r>
      <w:r w:rsidRPr="003B4F77">
        <w:rPr>
          <w:rFonts w:ascii="Book Antiqua" w:hAnsi="Book Antiqua" w:cs="Garamond-Light"/>
        </w:rPr>
        <w:fldChar w:fldCharType="begin" w:fldLock="1"/>
      </w:r>
      <w:r w:rsidRPr="003B4F77">
        <w:rPr>
          <w:rFonts w:ascii="Book Antiqua" w:hAnsi="Book Antiqua" w:cs="Garamond-Light"/>
        </w:rPr>
        <w:instrText>ADDIN CSL_CITATION {"citationItems":[{"id":"ITEM-1","itemData":{"ISBN":"0732-183X; 0732-183X","PMID":"11331316","abstract":"PURPOSE: Weight gain is a common problem among breast cancer patients who receive adjuvant chemotherapy (CT). We undertook a study to determine the causes of this energy imbalance. PATIENTS AND METHODS: Factors related to energy balance were assessed at baseline (within 3 weeks of diagnosis) and throughout 1 year postdiagnosis among 53 premenopausal women with operable breast carcinoma. Thirty-six patients received CT and 17 received only localized treatment (LT). Measures included body composition (dual energy x-ray absorptiometry), resting energy expenditure (REE; indirect calorimetry), dietary intake (2-day dietary recalls and food frequency questionnaires) and physical activity (physical activity records). RESULTS: Mean weight gain in the LT patients was 1.0 kg versus 2.1 kg in the CT group (P =.02). No significant differences between groups in trend over time were observed for REE and energy intake; however, a significant difference was noted for physical activity (P =.01). Several differences between groups in 1-year change scores were detected. The mean change (+/- SE) in LT versus CT groups and P values for uncontrolled/controlled (age, race, radiation therapy, baseline body mass index, and end point under consideration) analysis are as follows: percentage of body fat (-0.1 +/- 0.4 v +2.2 +/- 0.6%; P =.001/0.04); fat mass (+0.1 +/- 0.3 v +2.3 +/- 0.7 kg; P =.002/0.04); lean body mass (+0.8 +/- 0.2 v -0.4 +/- 0.3 kg; P =.02/0.30); and leg lean mass (+0.5 +/- 0.1 v -0.2 +/- 0.1 kg; P =.01/0.11). CONCLUSION: These data do not support overeating as a cause of weight gain among breast cancer patients who receive CT. The data suggest, however, that CT-induced weight gain is distinctive and indicative of sarcopenic obesity (weight gain in the presence of lean tissue loss or absence of lean tissue gain). The development of sarcopenic obesity with evidence of reduced physical activity supports the need for interventions focused on exercise, especially resistance training in the lower body, to prevent weight gain.","author":[{"dropping-particle":"","family":"Demark-Wahnefried","given":"W","non-dropping-particle":"","parse-names":false,"suffix":""},{"dropping-particle":"","family":"Peterson","given":"B L","non-dropping-particle":"","parse-names":false,"suffix":""},{"dropping-particle":"","family":"Winer","given":"E P","non-dropping-particle":"","parse-names":false,"suffix":""},{"dropping-particle":"","family":"Marks","given":"L","non-dropping-particle":"","parse-names":false,"suffix":""},{"dropping-particle":"","family":"Aziz","given":"N","non-dropping-particle":"","parse-names":false,"suffix":""},{"dropping-particle":"","family":"Marcom","given":"P K","non-dropping-particle":"","parse-names":false,"suffix":""},{"dropping-particle":"","family":"Blackwell","given":"K","non-dropping-particle":"","parse-names":false,"suffix":""},{"dropping-particle":"","family":"Rimer","given":"B K","non-dropping-particle":"","parse-names":false,"suffix":""}],"container-title":"Journal of clinical oncology : official journal of the American Society of Clinical Oncology","id":"ITEM-1","issue":"9","issued":{"date-parts":[["2001","5"]]},"note":"LR: 20071114; GR: 1K07-CA62215/CA/NCI NIH HHS/United States; JID: 8309333; CIN: J Clin Oncol. 2001 May 1;19(9):2367-9. PMID: 11331314; ppublish","page":"2381-2389","title":"Changes in weight, body composition, and factors influencing energy balance among premenopausal breast cancer patients receiving adjuvant chemotherapy","type":"article-journal","volume":"19"},"uris":["http://www.mendeley.com/documents/?uuid=dc2d861a-e186-4e84-a6ba-580f8fdd8acf"]},{"id":"ITEM-2","itemData":{"DOI":"10.1210/jc.2003-031874","ISSN":"0021-972X","PMID":"15126549","abstract":"Uncontrolled trials have reported significant weight gain in women with breast cancer during treatment with adjuvant chemotherapy. We prospectively evaluated body composition before (visit 1), immediately after (visit 2), and 6 months after (visit 3) chemotherapy in 20 women with stages I-IIIA breast cancer [body mass index (BMI): 24.1 +/- 3.9 kg/m(2)]. We compared their weight change to 51 age- and BMI-matched healthy controls (BMI: 25.5 +/- 3.8 kg/m(2)). In women with breast cancer, there was no weight change from visit 1-2, or from visit 1-3, but weight increased from visit 2-3 (+1.09 +/- 2.46 kg; P = 0.05). Weight change was not different from controls during either interval. In the breast cancer group, the percentage of body fat assessed by air displacement plethysmography increased, and fat-free mass decreased from visit 1-2 (+2.3 +/- 4% and -2.2 +/- 4%; P = 0.02) and from visit 1-3 (+4.0 +/- 6% and -3.8 +/- 6%; P = 0.01). By dual energy x-ray absorptiometry, the percentage of body fat increased from visit 2-3 (+0.9 +/- 1.6%; P = 0.02). Bone mineral content decreased from visit 2-3 (-0.02 +/- 0.04 kg; P = 0.02) and from visit 1-3 (-0.04 +/- 0.06 kg; P = 0.005). By computed tomography, the visceral adipose to sc adipose tissue ratio decreased from visit 1-3 (-0.02 +/- 0.05 ml; P = 0.02). We conclude that, compared with controls, women with breast cancer receiving modern adjuvant chemotherapy regimens show no significant changes in weight during the first year of their treatment. They do, however, appear to undergo unfavorable changes in body composition.","author":[{"dropping-particle":"","family":"Freedman","given":"R J","non-dropping-particle":"","parse-names":false,"suffix":""},{"dropping-particle":"","family":"Aziz","given":"N","non-dropping-particle":"","parse-names":false,"suffix":""},{"dropping-particle":"","family":"Albanes","given":"D","non-dropping-particle":"","parse-names":false,"suffix":""},{"dropping-particle":"","family":"Hartman","given":"T","non-dropping-particle":"","parse-names":false,"suffix":""},{"dropping-particle":"","family":"Danforth","given":"D","non-dropping-particle":"","parse-names":false,"suffix":""},{"dropping-particle":"","family":"Hill","given":"S","non-dropping-particle":"","parse-names":false,"suffix":""},{"dropping-particle":"","family":"Sebring","given":"N","non-dropping-particle":"","parse-names":false,"suffix":""},{"dropping-particle":"","family":"Reynolds","given":"J C","non-dropping-particle":"","parse-names":false,"suffix":""},{"dropping-particle":"","family":"Yanovski","given":"J A","non-dropping-particle":"","parse-names":false,"suffix":""}],"container-title":"The Journal of clinical endocrinology and metabolism","id":"ITEM-2","issue":"5","issued":{"date-parts":[["2004","5"]]},"page":"2248-53","title":"Weight and body composition changes during and after adjuvant chemotherapy in women with breast cancer.","type":"article-journal","volume":"89"},"uris":["http://www.mendeley.com/documents/?uuid=f860dd78-2e2f-3642-a80d-f8093130f2a1"]}],"mendeley":{"formattedCitation":"(14,18)","plainTextFormattedCitation":"(14,18)","previouslyFormattedCitation":"(14,18)"},"properties":{"noteIndex":0},"schema":"https://github.com/citation-style-language/schema/raw/master/csl-citation.json"}</w:instrText>
      </w:r>
      <w:r w:rsidRPr="003B4F77">
        <w:rPr>
          <w:rFonts w:ascii="Book Antiqua" w:hAnsi="Book Antiqua" w:cs="Garamond-Light"/>
        </w:rPr>
        <w:fldChar w:fldCharType="separate"/>
      </w:r>
      <w:r w:rsidRPr="003B4F77">
        <w:rPr>
          <w:rFonts w:ascii="Book Antiqua" w:hAnsi="Book Antiqua" w:cs="Garamond-Light"/>
          <w:noProof/>
        </w:rPr>
        <w:t>(14,18)</w:t>
      </w:r>
      <w:r w:rsidRPr="003B4F77">
        <w:rPr>
          <w:rFonts w:ascii="Book Antiqua" w:hAnsi="Book Antiqua" w:cs="Garamond-Light"/>
        </w:rPr>
        <w:fldChar w:fldCharType="end"/>
      </w:r>
      <w:r w:rsidRPr="003B4F77">
        <w:rPr>
          <w:rFonts w:ascii="Book Antiqua" w:hAnsi="Book Antiqua" w:cs="Garamond-Light"/>
        </w:rPr>
        <w:t xml:space="preserve">. This may lead to some metabolic disturbances related to increased adiposity including insulin resistance, dyslipidemia, and chronic inflammation </w:t>
      </w:r>
      <w:r w:rsidRPr="003B4F77">
        <w:rPr>
          <w:rFonts w:ascii="Book Antiqua" w:hAnsi="Book Antiqua" w:cs="Garamond-Light"/>
        </w:rPr>
        <w:fldChar w:fldCharType="begin" w:fldLock="1"/>
      </w:r>
      <w:r w:rsidRPr="003B4F77">
        <w:rPr>
          <w:rFonts w:ascii="Book Antiqua" w:hAnsi="Book Antiqua" w:cs="Garamond-Light"/>
        </w:rPr>
        <w:instrText>ADDIN CSL_CITATION {"citationItems":[{"id":"ITEM-1","itemData":{"DOI":"10.1200/JCO.2009.26.4473","ISSN":"0732-183X","PMID":"21115858","abstract":"PURPOSE Overweight or obese breast cancer patients have a worse prognosis compared with normal-weight patients. This may be attributed to hyperinsulinemia and dysregulation of adipokine levels associated with overweight and obesity. Here, we evaluate whether low levels of adiponectin and a greater level of insulin resistance are associated with breast cancer mortality and all-cause mortality. PATIENTS AND METHODS We measured glucose, insulin, and adiponectin levels in fasting serum samples from 527 women enrolled in the Health, Eating, Activity, and Lifestyle (HEAL) Study, a multiethnic, prospective cohort study of women diagnosed with stage I-IIIA breast cancer. We evaluated the association between adiponectin and insulin and glucose levels (expressed as the Homeostatic Model Assessment [HOMA] score) represented as continuous measures and median split categories, along with breast cancer mortality and all-cause mortality, using Cox proportional hazards models. RESULTS Increasing HOMA scores were associated with reduced breast cancer survival (hazard ratio [HR], 1.12; 95% CI, 1.05 to 1.20) and reduced all-cause survival (HR, 1.09; 95% CI, 1.02 to 1.15) after adjustment for possible confounders. Higher levels of adiponectin (above the median: 15.5 μg/mL) were associated with longer breast cancer survival (HR, 0.39; 95% CI, 0.15 to 0.95) after adjustment for covariates. A continuous measure of adiponectin was not associated with either breast cancer-specific or all-cause mortality. CONCLUSION Elevated HOMA scores and low levels of adiponectin, both associated with obesity, were associated with increased breast cancer mortality. To the best of our knowledge, this is the first demonstration of the association between low levels of adiponectin and increased breast cancer mortality in breast cancer survivors.","author":[{"dropping-particle":"","family":"Duggan","given":"Catherine","non-dropping-particle":"","parse-names":false,"suffix":""},{"dropping-particle":"","family":"Irwin","given":"Melinda L.","non-dropping-particle":"","parse-names":false,"suffix":""},{"dropping-particle":"","family":"Xiao","given":"Liren","non-dropping-particle":"","parse-names":false,"suffix":""},{"dropping-particle":"","family":"Henderson","given":"Katherine D.","non-dropping-particle":"","parse-names":false,"suffix":""},{"dropping-particle":"","family":"Smith","given":"Ashley Wilder","non-dropping-particle":"","parse-names":false,"suffix":""},{"dropping-particle":"","family":"Baumgartner","given":"Richard N.","non-dropping-particle":"","parse-names":false,"suffix":""},{"dropping-particle":"","family":"Baumgartner","given":"Kathy B.","non-dropping-particle":"","parse-names":false,"suffix":""},{"dropping-particle":"","family":"Bernstein","given":"Leslie","non-dropping-particle":"","parse-names":false,"suffix":""},{"dropping-particle":"","family":"Ballard-Barbash","given":"Rachel","non-dropping-particle":"","parse-names":false,"suffix":""},{"dropping-particle":"","family":"McTiernan","given":"Anne","non-dropping-particle":"","parse-names":false,"suffix":""}],"container-title":"Journal of Clinical Oncology","id":"ITEM-1","issue":"1","issued":{"date-parts":[["2011","1","1"]]},"page":"32-39","title":"Associations of Insulin Resistance and Adiponectin With Mortality in Women With Breast Cancer","type":"article-journal","volume":"29"},"uris":["http://www.mendeley.com/documents/?uuid=3a51d7df-838b-34d9-af3a-debcd8d66a04"]},{"id":"ITEM-2","itemData":{"DOI":"10.5306/wjco.v5.i3.272","ISSN":"2218-4333","PMID":"25114844","abstract":"Weight gain occurs in the majority of women following breast cancer treatment. An overview of studies describing weight gain amongst women treated with early to modern chemotherapy regimens is included. Populations at higher risk include women who are younger, closer to ideal body weight and who have been treated with chemotherapy. Weight gain ranges between 1 to 5 kg, and may be associated with change in body composition with gain in fat mass and loss in lean body mass. Women are unlikely to return to pre-diagnosis weight. Possible mechanisms including inactivity and metabolic changes are explored. Potential interventions are reviewed including exercise, dietary changes and pharmacologic agents. Although breast cancer prognosis does not appear to be significantly impacted, weight gain has negative consequences on quality of life and overall health. Future studies should explore change in body composition, metabolism and insulin resistance. Avoiding weight gain in breast cancer survivors following initial diagnosis and treatment should be encouraged.","author":[{"dropping-particle":"","family":"Makari-Judson","given":"Grace","non-dropping-particle":"","parse-names":false,"suffix":""},{"dropping-particle":"","family":"Braun","given":"Barry","non-dropping-particle":"","parse-names":false,"suffix":""},{"dropping-particle":"","family":"Jerry","given":"D Joseph","non-dropping-particle":"","parse-names":false,"suffix":""},{"dropping-particle":"","family":"Mertens","given":"Wilson C","non-dropping-particle":"","parse-names":false,"suffix":""}],"container-title":"World Journal of Clinical Oncology","id":"ITEM-2","issue":"3","issued":{"date-parts":[["2014","8","10"]]},"page":"272","title":"Weight gain following breast cancer diagnosis: Implication and proposed mechanisms","type":"article-journal","volume":"5"},"uris":["http://www.mendeley.com/documents/?uuid=d8af3ba2-8654-3629-8fe6-7f80d638f077"]}],"mendeley":{"formattedCitation":"(16,31)","plainTextFormattedCitation":"(16,31)","previouslyFormattedCitation":"(16,30)"},"properties":{"noteIndex":0},"schema":"https://github.com/citation-style-language/schema/raw/master/csl-citation.json"}</w:instrText>
      </w:r>
      <w:r w:rsidRPr="003B4F77">
        <w:rPr>
          <w:rFonts w:ascii="Book Antiqua" w:hAnsi="Book Antiqua" w:cs="Garamond-Light"/>
        </w:rPr>
        <w:fldChar w:fldCharType="separate"/>
      </w:r>
      <w:r w:rsidRPr="003B4F77">
        <w:rPr>
          <w:rFonts w:ascii="Book Antiqua" w:hAnsi="Book Antiqua" w:cs="Garamond-Light"/>
          <w:noProof/>
        </w:rPr>
        <w:t>(16,31)</w:t>
      </w:r>
      <w:r w:rsidRPr="003B4F77">
        <w:rPr>
          <w:rFonts w:ascii="Book Antiqua" w:hAnsi="Book Antiqua" w:cs="Garamond-Light"/>
        </w:rPr>
        <w:fldChar w:fldCharType="end"/>
      </w:r>
      <w:r w:rsidRPr="003B4F77">
        <w:rPr>
          <w:rFonts w:ascii="Book Antiqua" w:hAnsi="Book Antiqua" w:cs="Garamond-Light"/>
        </w:rPr>
        <w:t xml:space="preserve">. The present study sought to determine whether BCS several years after diagnosis had greater metabolic disturbances as determined by absolute and relative REE as well as CRP to measure inflammatory status. Absolute REE and inflammation were similar between BCS and controls. However, when REE was adjusted for LST, the BCS had a significantly greater REE than the controls. The majority of BCS (94.1%) and controls (94.4%) in the present study were classified as obese based on body composition (body fat &gt; 32%), despite mean BMI values that only classified both the BCS and controls as overweight (26.4 ± 5.1 and 25.3 ± 3.8 kg/m²). </w:t>
      </w:r>
      <w:r w:rsidRPr="003B4F77">
        <w:rPr>
          <w:rFonts w:ascii="Book Antiqua" w:eastAsia="Book Antiqua" w:hAnsi="Book Antiqua" w:cs="Book Antiqua"/>
        </w:rPr>
        <w:t xml:space="preserve">Data surrounding changes in REE within the cancer population are conflicting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{"citationItems":[{"id":"ITEM-1","itemData":{"DOI":"10.1023/B:BREA.0000014037.48744.fa","ISSN":"0167-6806","PMID":"14758090","abstract":"Weight gain is a common problem amongst women receiving adjuvant chemotherapy for early breast cancer. We undertook a study to determine the causes of this weight gain. Prospective measurements of body mass and composition (skinfolds, bioelectrical impedance, total body potassium), energy balance (resting energy expenditure dietary intake, and physical activity), were determined in 17 women during and in the 6 months after commencing adjuvant chemotherapy. Women gained significant amounts of weight (5.0 +/- 3.8; p &lt; 0.01) and body fat (7.1 kg +/- 4.5; p &lt; 0.01) over the year. Waist circumference (5.1 +/- 4.5 cm; p &lt; 0.01) and abdominal skinfold (16.2 +/- 10 mm; p &lt; 0.01) were also increased but there was a decline in fat free mass (FFM); 1.7 +/- 2.5 kg. Women due to receive adjuvant chemotherapy had a greater resting energy expenditure (REE) compared with healthy subjects (n = 21); 100.5 +/- 8.0% Harris Benedict compared to 94.5 +/- 8.4% Harris Benedict (p = 0.05). REE declined by 3% during adjuvant chemotherapy (p &lt; 0.05), and remained depressed until at least 3 months posttreatment. There were no significant changes in dietary intake or physical activity over the year. Failure of women to reduce their energy intake to compensate for the decreased energy requirement may account for some of the weight gain. Treatment of adjuvant chemotherapy causes gain of body fat because of reduced energy expenditure, and the failure of women to reduce their energy intake to compensate for the decline in energy requirement during and in the 6 months posttreatment. Since weight gain impacts on survival, patients should be counselled to reduce energy intake and exercise during and after adjuvant treatment.","author":[{"dropping-particle":"","family":"Harvie","given":"Michelle N","non-dropping-particle":"","parse-names":false,"suffix":""},{"dropping-particle":"","family":"Campbell","given":"I T","non-dropping-particle":"","parse-names":false,"suffix":""},{"dropping-particle":"","family":"Baildam","given":"A","non-dropping-particle":"","parse-names":false,"suffix":""},{"dropping-particle":"","family":"Howell","given":"A","non-dropping-particle":"","parse-names":false,"suffix":""}],"container-title":"Breast cancer research and treatment","id":"ITEM-1","issue":"3","issued":{"date-parts":[["2004","2"]]},"page":"201-10","title":"Energy balance in early breast cancer patients receiving adjuvant chemotherapy.","type":"article-journal","volume":"83"},"uris":["http://www.mendeley.com/documents/?uuid=5fe340be-4be0-3e03-8b10-79234bad8733"]},{"id":"ITEM-2","itemData":{"DOI":"10.1038/sj.bjc.6602357","ISBN":"0007-0920; 0007-0920","PMID":"15726121","abstract":"Chemotherapy exerts a variable effect on nutritional status. It is not known whether loss of body fat or fat-free mass (FFM) during chemotherapy relates to diminished dietary intake, failure to meet elevated energy requirements, or to the presence of an acute-phase response. We sought to determine prospective measurements of body mass and composition, resting energy expenditure, energy and protein intake, and C-reactive protein over a course of chemotherapy in 82 patients with advanced cancer. There was a large dropout from the study. Prospective measurements were obtained in 19 patients with non-small-cell lung cancer (NSCLC), 12 with metastatic melanoma and 10 with metastatic breast cancer. There were significant increases in energy intake among patients with metastatic breast cancer, 873 (266-1480) kJ (mean 95% CI; P&lt;0.01), and metastatic melanoma, 2513 (523-4503) kJ (P&lt;0.01). Breast cancer patients gained percentage body fat over the course of treatment, 2.1 (0.8-3.5%). Gain or loss of body fat correlated to mean energy intake throughout chemotherapy in patients with NSCLC (Rs=0.751; P&lt;0.01) and metastatic breast cancer (Rs=0.617; P&lt;0.05). The ability to meet or exceed energy requirements led to gains in body fat among patients with metastatic breast cancer and NSCLC, but did not prevent loss of FFM in these groups.","author":[{"dropping-particle":"","family":"Harvie","given":"M N","non-dropping-particle":"","parse-names":false,"suffix":""},{"dropping-particle":"","family":"Howell","given":"A","non-dropping-particle":"","parse-names":false,"suffix":""},{"dropping-particle":"","family":"Thatcher","given":"N","non-dropping-particle":"","parse-names":false,"suffix":""},{"dropping-particle":"","family":"Baildam","given":"A","non-dropping-particle":"","parse-names":false,"suffix":""},{"dropping-particle":"","family":"Campbell","given":"I","non-dropping-particle":"","parse-names":false,"suffix":""}],"container-title":"British journal of cancer","id":"ITEM-2","issue":"4","issued":{"date-parts":[["2005","2"]]},"note":"LR: 20130609; JID: 0370635; OID: NLM: PMC2361878; ppublish","page":"673-680","title":"Energy balance in patients with advanced NSCLC, metastatic melanoma and metastatic breast cancer receiving chemotherapy--a longitudinal study","type":"article-journal","volume":"92"},"uris":["http://www.mendeley.com/documents/?uuid=319ae8c2-31e9-482a-b0a2-c427980d2a30"]},{"id":"ITEM-3","itemData":{"ISSN":"0008-543X","PMID":"3019511","abstract":"The presence of a malignant tumor is said to influence the resting energy expenditure (REE) of the host. This study assesses the hypothesis that different tumor types exert differing effects on REE. REE was measured using indirect calorimetry in 84 cancer patients. Fifty-one patients had colorectal cancer, 22 had gastric cancer, and 11 had non-small cell bronchial cancer. For each tumor type, REE correlated significantly with body weight and lean body mass (LBM). The slope of the regression line for the bronchial cancer patients was significantly different from the colorectal (P less than 0.02) and gastric (P less than 0.02) cancer patients when REE was related to LBM. When related to body weight, the slope of the line of the bronchial cancer patients was significantly different from that of the gastric cancer patients only (P less than 0.05). The bronchial cancer patients had a significantly higher REE than the colorectal (P less than 0.005) and gastric (P less than 0.02) cancer patients when REE was expressed in terms of body weight. However, when corrected for LBM, no significant differences in REE were found between the groups. The presence of hepatic metastases did not influence REE in any of the tumor groups. Differing relationships between REE and indices of body size have been detected in differing tumor types. Consequently, the use of heterogeneous cancer groups may be inappropriate in studies of REE and cancer.","author":[{"dropping-particle":"","family":"Hansell","given":"D T","non-dropping-particle":"","parse-names":false,"suffix":""},{"dropping-particle":"","family":"Davies","given":"J W","non-dropping-particle":"","parse-names":false,"suffix":""},{"dropping-particle":"","family":"Burns","given":"H J","non-dropping-particle":"","parse-names":false,"suffix":""}],"container-title":"Cancer","id":"ITEM-3","issue":"8","issued":{"date-parts":[["1986","10","15"]]},"page":"1739-44","title":"The effects on resting energy expenditure of different tumor types.","type":"article-journal","volume":"58"},"uris":["http://www.mendeley.com/documents/?uuid=471b3908-81db-314f-9314-381a1082a0e5"]}],"mendeley":{"formattedCitation":"(23,24,26)","plainTextFormattedCitation":"(23,24,26)","previouslyFormattedCitation":"(22,23,25)"},"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(23,24,26)</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Campbell et al.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{"citationItems":[{"id":"ITEM-1","itemData":{"DOI":"10.1097/01.NCC.0000265004.64440.5f","ISSN":"0162-220X","PMID":"17413774","abstract":"Weight gain is a commonly reported side effect of adjuvant chemotherapy. A change in resting energy expenditure during treatment has been a suggested mechanism for weight gain. We prospectively measured resting energy expenditure, weight change, and body composition (dual-energy x-ray absorptiometry) in 10 women undergoing adjuvant chemotherapy for breast cancer. There was no change in resting energy expenditure across cycles of chemotherapy (P =.78) or from baseline to the end of treatment (1,189.68 +/- 80.27 vs 1,205.76 +/- 56.71 kcal/d; P =.74). Overall, participants did not gain weight across treatment. However, there was an overall trend toward weight gain (66.3 +/- 5.1 vs 68.2 +/- 5.0 kg; P =.09), and participants did show an increase in total fat mass (24.2 +/- 3.8 vs 26.5 +/- 3.2 kg; P =.04), whereas muscle mass remained the same. Although no change in resting energy expenditure was seen, the observed increase in total fat mass is consistent with a decrease in physical activity level commonly reported with adjuvant chemotherapy treatment of breast cancer, and these body composition changes may have important health implications for survivors.","author":[{"dropping-particle":"","family":"Campbell","given":"K. L.","non-dropping-particle":"","parse-names":false,"suffix":""},{"dropping-particle":"","family":"Lane","given":"K.","non-dropping-particle":"","parse-names":false,"suffix":""},{"dropping-particle":"","family":"Martin","given":"A. D.","non-dropping-particle":"","parse-names":false,"suffix":""},{"dropping-particle":"","family":"Gelmon","given":"K. A.","non-dropping-particle":"","parse-names":false,"suffix":""},{"dropping-particle":"","family":"McKenzie","given":"D. C.","non-dropping-particle":"","parse-names":false,"suffix":""}],"container-title":"Cancer Nursing","id":"ITEM-1","issue":"2","issued":{"date-parts":[["2007","3"]]},"page":"95-100","title":"Resting Energy Expenditure and Body Mass Changes in Women During Adjuvant Chemotherapy for Breast Cancer","type":"article-journal","volume":"30"},"uris":["http://www.mendeley.com/documents/?uuid=ffc2755a-7de7-36f9-9850-d769ec42b041"]}],"mendeley":{"formattedCitation":"(8)","plainTextFormattedCitation":"(8)","previouslyFormattedCitation":"(8)"},"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(8)</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did not observe a change in REE in 10 breast cancer patients undergoing adjuvant chemotherapy, despite an increase in fat mass. Other studies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10.1016/j.clnu.2009.07.001","ISSN":"02615614","author":[{"dropping-particle":"","family":"Cao","given":"Dong-xing","non-dropping-particle":"","parse-names":false,"suffix":""},{"dropping-particle":"","family":"Wu","given":"Guo-hao","non-dropping-particle":"","parse-names":false,"suffix":""},{"dropping-particle":"","family":"Zhang","given":"Bo","non-dropping-particle":"","parse-names":false,"suffix":""},{"dropping-particle":"","family":"Quan","given":"Ying-jun","non-dropping-particle":"","parse-names":false,"suffix":""},{"dropping-particle":"","family":"Wei","given":"Jia","non-dropping-particle":"","parse-names":false,"suffix":""},{"dropping-particle":"","family":"Jin","given":"Huan","non-dropping-particle":"","parse-names":false,"suffix":""},{"dropping-particle":"","family":"Jiang","given":"Yi","non-dropping-particle":"","parse-names":false,"suffix":""},{"dropping-particle":"","family":"Yang","given":"Zi-ang","non-dropping-particle":"","parse-names":false,"suffix":""}],"container-title":"Clinical Nutrition","id":"ITEM-1","issue":"1","issued":{"date-parts":[["2010","2"]]},"page":"72-77","title":"Resting energy expenditure and body composition in patients with newly detected cancer","type":"article-journal","volume":"29"},"uris":["http://www.mendeley.com/documents/?uuid=188c79f2-90a0-324b-b268-1ec5128864e9"]},{"id":"ITEM-2","itemData":{"DOI":"10.1023/B:BREA.0000014037.48744.fa","ISSN":"0167-6806","PMID":"14758090","abstract":"Weight gain is a common problem amongst women receiving adjuvant chemotherapy for early breast cancer. We undertook a study to determine the causes of this weight gain. Prospective measurements of body mass and composition (skinfolds, bioelectrical impedance, total body potassium), energy balance (resting energy expenditure dietary intake, and physical activity), were determined in 17 women during and in the 6 months after commencing adjuvant chemotherapy. Women gained significant amounts of weight (5.0 +/- 3.8; p &lt; 0.01) and body fat (7.1 kg +/- 4.5; p &lt; 0.01) over the year. Waist circumference (5.1 +/- 4.5 cm; p &lt; 0.01) and abdominal skinfold (16.2 +/- 10 mm; p &lt; 0.01) were also increased but there was a decline in fat free mass (FFM); 1.7 +/- 2.5 kg. Women due to receive adjuvant chemotherapy had a greater resting energy expenditure (REE) compared with healthy subjects (n = 21); 100.5 +/- 8.0% Harris Benedict compared to 94.5 +/- 8.4% Harris Benedict (p = 0.05). REE declined by 3% during adjuvant chemotherapy (p &lt; 0.05), and remained depressed until at least 3 months posttreatment. There were no significant changes in dietary intake or physical activity over the year. Failure of women to reduce their energy intake to compensate for the decreased energy requirement may account for some of the weight gain. Treatment of adjuvant chemotherapy causes gain of body fat because of reduced energy expenditure, and the failure of women to reduce their energy intake to compensate for the decline in energy requirement during and in the 6 months posttreatment. Since weight gain impacts on survival, patients should be counselled to reduce energy intake and exercise during and after adjuvant treatment.","author":[{"dropping-particle":"","family":"Harvie","given":"Michelle N","non-dropping-particle":"","parse-names":false,"suffix":""},{"dropping-particle":"","family":"Campbell","given":"I T","non-dropping-particle":"","parse-names":false,"suffix":""},{"dropping-particle":"","family":"Baildam","given":"A","non-dropping-particle":"","parse-names":false,"suffix":""},{"dropping-particle":"","family":"Howell","given":"A","non-dropping-particle":"","parse-names":false,"suffix":""}],"container-title":"Breast cancer research and treatment","id":"ITEM-2","issue":"3","issued":{"date-parts":[["2004","2"]]},"page":"201-10","title":"Energy balance in early breast cancer patients receiving adjuvant chemotherapy.","type":"article-journal","volume":"83"},"uris":["http://www.mendeley.com/documents/?uuid=5fe340be-4be0-3e03-8b10-79234bad8733"]},{"id":"ITEM-3","itemData":{"DOI":"10.1038/sj.bjc.6602357","ISBN":"0007-0920; 0007-0920","PMID":"15726121","abstract":"Chemotherapy exerts a variable effect on nutritional status. It is not known whether loss of body fat or fat-free mass (FFM) during chemotherapy relates to diminished dietary intake, failure to meet elevated energy requirements, or to the presence of an acute-phase response. We sought to determine prospective measurements of body mass and composition, resting energy expenditure, energy and protein intake, and C-reactive protein over a course of chemotherapy in 82 patients with advanced cancer. There was a large dropout from the study. Prospective measurements were obtained in 19 patients with non-small-cell lung cancer (NSCLC), 12 with metastatic melanoma and 10 with metastatic breast cancer. There were significant increases in energy intake among patients with metastatic breast cancer, 873 (266-1480) kJ (mean 95% CI; P&lt;0.01), and metastatic melanoma, 2513 (523-4503) kJ (P&lt;0.01). Breast cancer patients gained percentage body fat over the course of treatment, 2.1 (0.8-3.5%). Gain or loss of body fat correlated to mean energy intake throughout chemotherapy in patients with NSCLC (Rs=0.751; P&lt;0.01) and metastatic breast cancer (Rs=0.617; P&lt;0.05). The ability to meet or exceed energy requirements led to gains in body fat among patients with metastatic breast cancer and NSCLC, but did not prevent loss of FFM in these groups.","author":[{"dropping-particle":"","family":"Harvie","given":"M N","non-dropping-particle":"","parse-names":false,"suffix":""},{"dropping-particle":"","family":"Howell","given":"A","non-dropping-particle":"","parse-names":false,"suffix":""},{"dropping-particle":"","family":"Thatcher","given":"N","non-dropping-particle":"","parse-names":false,"suffix":""},{"dropping-particle":"","family":"Baildam","given":"A","non-dropping-particle":"","parse-names":false,"suffix":""},{"dropping-particle":"","family":"Campbell","given":"I","non-dropping-particle":"","parse-names":false,"suffix":""}],"container-title":"British journal of cancer","id":"ITEM-3","issue":"4","issued":{"date-parts":[["2005","2"]]},"note":"LR: 20130609; JID: 0370635; OID: NLM: PMC2361878; ppublish","page":"673-680","title":"Energy balance in patients with advanced NSCLC, metastatic melanoma and metastatic breast cancer receiving chemotherapy--a longitudinal study","type":"article-journal","volume":"92"},"uris":["http://www.mendeley.com/documents/?uuid=319ae8c2-31e9-482a-b0a2-c427980d2a30"]}],"mendeley":{"formattedCitation":"(9,24,26)","plainTextFormattedCitation":"(9,24,26)","previouslyFormattedCitation":"(9,23,25)"},"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(9,24,26)</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have observed increases in REE in cancer populations primarily during the tumor-bearing period. These observed increases in REE have </w:t>
      </w:r>
      <w:r w:rsidR="0097755E" w:rsidRPr="003B4F77">
        <w:rPr>
          <w:rFonts w:ascii="Book Antiqua" w:eastAsia="Book Antiqua" w:hAnsi="Book Antiqua" w:cs="Book Antiqua"/>
        </w:rPr>
        <w:t>led</w:t>
      </w:r>
      <w:r w:rsidRPr="003B4F77">
        <w:rPr>
          <w:rFonts w:ascii="Book Antiqua" w:eastAsia="Book Antiqua" w:hAnsi="Book Antiqua" w:cs="Book Antiqua"/>
        </w:rPr>
        <w:t xml:space="preserve"> to up to 73% of cancer patients being reported to experience some degree of accelerated body composition changes such as weight loss (muscle and fat) during their disease course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{"citationItems":[{"id":"ITEM-1","itemData":{"DOI":"10.1080/01635581.2016.1153667","ISSN":"1532-7914","PMID":"27007947","abstract":"There is conflicting evidence surrounding the extent of changes in resting energy expenditure (REE) in cancer. This meta-analysis aimed to establish the mean difference in REE, as kilojoules per kilogram fat-free mass, among cancer patients when compared to healthy control subjects. The secondary aim was to determine differences among different cancer types. PubMed, Cochrane Library, Medline, Science Direct, Scopus, Web of Science, Wiley Online Library, and ProQuest Central were searched from the earliest records until March 2014. Studies were included if measured REE was reported as kilojoules or kilocalories per kilogram fat-free mass (FFM) in adult subjects with cancer. Twenty-seven studies were included in the meta-analysis. Fourteen studies included both cancer (n = 1453) and control (n = 1145) groups. The meta-analysis shows an average increase in REE of 9.66 (95% confidence interval: 3.34, 15.98) kJ/kgFFM/day in cancer patients when compared to control subjects. Heterogeneity was detected (P &lt; 0.001) which suggest variations in REE among cancer types. Elevations are most noticeable in patients with cancers of metabolically demanding organs.","author":[{"dropping-particle":"","family":"Nguyen","given":"Thi Yen Vi","non-dropping-particle":"","parse-names":false,"suffix":""},{"dropping-particle":"","family":"Batterham","given":"Marijka J","non-dropping-particle":"","parse-names":false,"suffix":""},{"dropping-particle":"","family":"Edwards","given":"Cheree","non-dropping-particle":"","parse-names":false,"suffix":""}],"container-title":"Nutrition and cancer","id":"ITEM-1","issue":"3","issued":{"date-parts":[["2016","4","2"]]},"page":"374-87","title":"Comparison of Resting Energy Expenditure Between Cancer Subjects and Healthy Controls: A Meta-Analysis.","type":"article-journal","volume":"68"},"uris":["http://www.mendeley.com/documents/?uuid=54f77e1d-f996-3b76-9889-3a1756186ddc"]},{"id":"ITEM-2","itemData":{"DOI":"10.1038/ejcn.2016.96","ISSN":"0954-3007","author":[{"dropping-particle":"","family":"Purcell","given":"S A","non-dropping-particle":"","parse-names":false,"suffix":""},{"dropping-particle":"","family":"Elliott","given":"S A","non-dropping-particle":"","parse-names":false,"suffix":""},{"dropping-particle":"","family":"Baracos","given":"V E","non-dropping-particle":"","parse-names":false,"suffix":""},{"dropping-particle":"","family":"Chu","given":"Q S C","non-dropping-particle":"","parse-names":false,"suffix":""},{"dropping-particle":"","family":"Prado","given":"C M","non-dropping-particle":"","parse-names":false,"suffix":""}],"container-title":"European Journal of Clinical Nutrition","id":"ITEM-2","issue":"11","issued":{"date-parts":[["2016","11","8"]]},"page":"1230-1238","title":"Key determinants of energy expenditure in cancer and implications for clinical practice","type":"article-journal","volume":"70"},"uris":["http://www.mendeley.com/documents/?uuid=98670c71-3679-3b98-9581-300ea5f8ca3a"]}],"mendeley":{"formattedCitation":"(34,41)","plainTextFormattedCitation":"(34,41)","previouslyFormattedCitation":"(33,40)"},"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(34,41)</w:t>
      </w:r>
      <w:r w:rsidRPr="003B4F77">
        <w:rPr>
          <w:rFonts w:ascii="Book Antiqua" w:eastAsia="Book Antiqua" w:hAnsi="Book Antiqua" w:cs="Book Antiqua"/>
        </w:rPr>
        <w:fldChar w:fldCharType="end"/>
      </w:r>
      <w:r w:rsidRPr="003B4F77">
        <w:rPr>
          <w:rFonts w:ascii="Book Antiqua" w:eastAsia="Book Antiqua" w:hAnsi="Book Antiqua" w:cs="Book Antiqua"/>
        </w:rPr>
        <w:t>.</w:t>
      </w:r>
      <w:r w:rsidRPr="003B4F77">
        <w:rPr>
          <w:rFonts w:ascii="Book Antiqua" w:hAnsi="Book Antiqua" w:cs="Garamond-Light"/>
          <w:sz w:val="22"/>
          <w:szCs w:val="20"/>
        </w:rPr>
        <w:t xml:space="preserve"> </w:t>
      </w:r>
    </w:p>
    <w:p w:rsidR="001C6FA6" w:rsidRPr="003B4F77" w:rsidRDefault="001C6FA6" w:rsidP="001C6FA6">
      <w:pPr>
        <w:autoSpaceDE w:val="0"/>
        <w:autoSpaceDN w:val="0"/>
        <w:adjustRightInd w:val="0"/>
        <w:jc w:val="both"/>
        <w:rPr>
          <w:rFonts w:ascii="Book Antiqua" w:hAnsi="Book Antiqua" w:cs="Garamond-Light"/>
          <w:sz w:val="22"/>
          <w:szCs w:val="20"/>
        </w:rPr>
      </w:pPr>
    </w:p>
    <w:p w:rsidR="001C6FA6" w:rsidRPr="003B4F77" w:rsidRDefault="001C6FA6" w:rsidP="001C6FA6">
      <w:pPr>
        <w:autoSpaceDE w:val="0"/>
        <w:autoSpaceDN w:val="0"/>
        <w:adjustRightInd w:val="0"/>
        <w:jc w:val="both"/>
        <w:rPr>
          <w:rFonts w:ascii="Book Antiqua" w:eastAsia="Book Antiqua" w:hAnsi="Book Antiqua" w:cs="Book Antiqua"/>
        </w:rPr>
      </w:pPr>
      <w:r w:rsidRPr="003B4F77">
        <w:rPr>
          <w:rFonts w:ascii="Book Antiqua" w:eastAsia="Book Antiqua" w:hAnsi="Book Antiqua" w:cs="Book Antiqua"/>
        </w:rPr>
        <w:t xml:space="preserve">Further, these changes in REE occur primarily in cancers of metabolically active organs (e.g. liver, pancreatic)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{"citationItems":[{"id":"ITEM-1","itemData":{"DOI":"10.1080/01635581.2016.1153667","ISSN":"1532-7914","PMID":"27007947","abstract":"There is conflicting evidence surrounding the extent of changes in resting energy expenditure (REE) in cancer. This meta-analysis aimed to establish the mean difference in REE, as kilojoules per kilogram fat-free mass, among cancer patients when compared to healthy control subjects. The secondary aim was to determine differences among different cancer types. PubMed, Cochrane Library, Medline, Science Direct, Scopus, Web of Science, Wiley Online Library, and ProQuest Central were searched from the earliest records until March 2014. Studies were included if measured REE was reported as kilojoules or kilocalories per kilogram fat-free mass (FFM) in adult subjects with cancer. Twenty-seven studies were included in the meta-analysis. Fourteen studies included both cancer (n = 1453) and control (n = 1145) groups. The meta-analysis shows an average increase in REE of 9.66 (95% confidence interval: 3.34, 15.98) kJ/kgFFM/day in cancer patients when compared to control subjects. Heterogeneity was detected (P &lt; 0.001) which suggest variations in REE among cancer types. Elevations are most noticeable in patients with cancers of metabolically demanding organs.","author":[{"dropping-particle":"","family":"Nguyen","given":"Thi Yen Vi","non-dropping-particle":"","parse-names":false,"suffix":""},{"dropping-particle":"","family":"Batterham","given":"Marijka J","non-dropping-particle":"","parse-names":false,"suffix":""},{"dropping-particle":"","family":"Edwards","given":"Cheree","non-dropping-particle":"","parse-names":false,"suffix":""}],"container-title":"Nutrition and cancer","id":"ITEM-1","issue":"3","issued":{"date-parts":[["2016","4","2"]]},"page":"374-87","title":"Comparison of Resting Energy Expenditure Between Cancer Subjects and Healthy Controls: A Meta-Analysis.","type":"article-journal","volume":"68"},"uris":["http://www.mendeley.com/documents/?uuid=54f77e1d-f996-3b76-9889-3a1756186ddc"]}],"mendeley":{"formattedCitation":"(34)","plainTextFormattedCitation":"(34)","previouslyFormattedCitation":"(33)"},"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(34)</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However, during and after treatment REE may decrease and remain depressed in the months following completion of primary treatment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{"citationItems":[{"id":"ITEM-1","itemData":{"DOI":"10.1023/B:BREA.0000014037.48744.fa","ISSN":"0167-6806","PMID":"14758090","abstract":"Weight gain is a common problem amongst women receiving adjuvant chemotherapy for early breast cancer. We undertook a study to determine the causes of this weight gain. Prospective measurements of body mass and composition (skinfolds, bioelectrical impedance, total body potassium), energy balance (resting energy expenditure dietary intake, and physical activity), were determined in 17 women during and in the 6 months after commencing adjuvant chemotherapy. Women gained significant amounts of weight (5.0 +/- 3.8; p &lt; 0.01) and body fat (7.1 kg +/- 4.5; p &lt; 0.01) over the year. Waist circumference (5.1 +/- 4.5 cm; p &lt; 0.01) and abdominal skinfold (16.2 +/- 10 mm; p &lt; 0.01) were also increased but there was a decline in fat free mass (FFM); 1.7 +/- 2.5 kg. Women due to receive adjuvant chemotherapy had a greater resting energy expenditure (REE) compared with healthy subjects (n = 21); 100.5 +/- 8.0% Harris Benedict compared to 94.5 +/- 8.4% Harris Benedict (p = 0.05). REE declined by 3% during adjuvant chemotherapy (p &lt; 0.05), and remained depressed until at least 3 months posttreatment. There were no significant changes in dietary intake or physical activity over the year. Failure of women to reduce their energy intake to compensate for the decreased energy requirement may account for some of the weight gain. Treatment of adjuvant chemotherapy causes gain of body fat because of reduced energy expenditure, and the failure of women to reduce their energy intake to compensate for the decline in energy requirement during and in the 6 months posttreatment. Since weight gain impacts on survival, patients should be counselled to reduce energy intake and exercise during and after adjuvant treatment.","author":[{"dropping-particle":"","family":"Harvie","given":"Michelle N","non-dropping-particle":"","parse-names":false,"suffix":""},{"dropping-particle":"","family":"Campbell","given":"I T","non-dropping-particle":"","parse-names":false,"suffix":""},{"dropping-particle":"","family":"Baildam","given":"A","non-dropping-particle":"","parse-names":false,"suffix":""},{"dropping-particle":"","family":"Howell","given":"A","non-dropping-particle":"","parse-names":false,"suffix":""}],"container-title":"Breast cancer research and treatment","id":"ITEM-1","issue":"3","issued":{"date-parts":[["2004","2"]]},"page":"201-10","title":"Energy balance in early breast cancer patients receiving adjuvant chemotherapy.","type":"article-journal","volume":"83"},"uris":["http://www.mendeley.com/documents/?uuid=5fe340be-4be0-3e03-8b10-79234bad8733"]}],"mendeley":{"formattedCitation":"(24)","plainTextFormattedCitation":"(24)","previouslyFormattedCitation":"(23)"},"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(24)</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A study by Guinan et al.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{"citationItems":[{"id":"ITEM-1","itemData":{"DOI":"10.1186/1475-2891-12-99","ISSN":"1475-2891","PMID":"23855321","abstract":"BACKGROUND Breast cancer prognosis can be adversely influenced by obesity, physical inactivity and metabolic dysfunction. Interventions aimed at improving surrogate markers of breast cancer risk such as insulin resistance may result in improved breast cancer outcomes. The design of such interventions may be improved through increased understanding of metabolic presentation in this cohort. This cross-sectional study aimed to characterise the metabolic profile of breast cancer survivors relative to abdominal obesity and insulin resistance. A secondary aim was to compare measures of energy output across these groups. METHODS Sixty-nine women (mean (SD) age 53.43 (9.39) years) who had completed adjuvant chemotherapy and radiotherapy for breast cancer were recruited. All measures were completed during one assessment conducted 3.1 (1.0) years post diagnosis. Body composition was measured by bioimpedance analysis and waist circumference (WC). Fasting (12 hour) blood samples were drawn to measure lipid profile, glucose, insulin, glycosylated haemoglobin A1c (HBA1c) and C-reactive protein (CRP). Insulin resistance was estimated by the homeostatic model assessment index (HOMA-IR)). Energy output was evaluated by resting metabolic rate (RMR) measured by indirect calorimetry and physical activity measured by accelerometry. Characteristics were compared across four groups (1. WC &lt;80 cm, not insulin resistant; 2. WC 80-87.9 cm, not insulin resistant; 3. WC &gt;88 cm, not insulin resistant; 4. WC &gt;80 cm, insulin resistant) using ANOVA (p</w:instrText>
      </w:r>
      <w:r w:rsidRPr="003B4F77">
        <w:rPr>
          <w:rFonts w:eastAsia="Book Antiqua"/>
        </w:rPr>
        <w:instrText> </w:instrText>
      </w:r>
      <w:r w:rsidRPr="003B4F77">
        <w:rPr>
          <w:rFonts w:ascii="Book Antiqua" w:eastAsia="Book Antiqua" w:hAnsi="Book Antiqua" w:cs="Book Antiqua"/>
        </w:rPr>
        <w:instrText>&lt;</w:instrText>
      </w:r>
      <w:r w:rsidRPr="003B4F77">
        <w:rPr>
          <w:rFonts w:eastAsia="Book Antiqua"/>
        </w:rPr>
        <w:instrText> </w:instrText>
      </w:r>
      <w:r w:rsidRPr="003B4F77">
        <w:rPr>
          <w:rFonts w:ascii="Book Antiqua" w:eastAsia="Book Antiqua" w:hAnsi="Book Antiqua" w:cs="Book Antiqua"/>
        </w:rPr>
        <w:instrText>0.05). RESULTS Group 4 was characterised by significant disturbances in measures of glucose metabolism (glucose, insulin, HOMA-IR and HBA1c) and raised CRP compared to other groups. Group 4 also displayed evidence of dyslipidemia and higher body composition values compared to Groups 1 and 2. Both absolute and adjusted RMR were significantly higher in the Group 4 versus all other groups. Physical activity levels were similar for all groups. CONCLUSIONS The results from this study suggest that participants who were both centrally obese and insulin resistant showed evidence of dyslipidemia, low-grade inflammation and glucose dysregulation. Metabolic profiles of participants who were centrally obese only were not significantly different from lean participants. Consideration of baseline metabolic presentation may be useful when considering the therapeutic targets for future interventions in this cohort.","author":[{"dropping-particle":"","family":"Guinan","given":"Emer M","non-dropping-particle":"","parse-names":false,"suffix":""},{"dropping-particle":"","family":"Connolly","given":"Elizabeth M","non-dropping-particle":"","parse-names":false,"suffix":""},{"dropping-particle":"","family":"Kennedy","given":"M John","non-dropping-particle":"","parse-names":false,"suffix":""},{"dropping-particle":"","family":"Hussey","given":"Juliette","non-dropping-particle":"","parse-names":false,"suffix":""}],"container-title":"Nutrition journal","id":"ITEM-1","issue":"1","issued":{"date-parts":[["2013","7","15"]]},"page":"99","title":"The presentation of metabolic dysfunction and the relationship with energy output in breast cancer survivors: a cross-sectional study.","type":"article-journal","volume":"12"},"uris":["http://www.mendeley.com/documents/?uuid=7f114c63-be82-3f20-b9a9-84a1a12c34c0"]}],"mendeley":{"formattedCitation":"(22)","plainTextFormattedCitation":"(22)","previouslyFormattedCitation":"(21)"},"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(22)</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stratified 69 BCS (</w:t>
      </w:r>
      <w:r w:rsidRPr="003B4F77">
        <w:rPr>
          <w:rFonts w:ascii="Book Antiqua" w:hAnsi="Book Antiqua" w:cs="AdvTTb5929f4c"/>
        </w:rPr>
        <w:t>age: 53.4 ± 9.39 years) that were 3.1 ± 1.0 years post diagnosis into four groups based on abdominal obesity (waist circumference) and insulin resistance and</w:t>
      </w:r>
      <w:r w:rsidRPr="003B4F77">
        <w:rPr>
          <w:rFonts w:ascii="Book Antiqua" w:hAnsi="Book Antiqua"/>
        </w:rPr>
        <w:t xml:space="preserve"> </w:t>
      </w:r>
      <w:r w:rsidRPr="003B4F77">
        <w:rPr>
          <w:rFonts w:ascii="Book Antiqua" w:eastAsia="Book Antiqua" w:hAnsi="Book Antiqua" w:cs="Book Antiqua"/>
        </w:rPr>
        <w:t xml:space="preserve">compared both the absolute REE and REE adjusted by fat-free mass among the BCS. The BCS with the worst metabolic profile (waist &gt; 88cm and insulin resistant) had significantly greater REE and CRP than the BCS with healthier metabolic profiles (normal waist circumference and/or absence of insulin resistance). Interestingly, objectively measured habitual physical activity levels were not associated with REE in the cohort of BCS investigated by Guinan et al.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{"citationItems":[{"id":"ITEM-1","itemData":{"DOI":"10.1186/1475-2891-12-99","ISSN":"1475-2891","PMID":"23855321","abstract":"BACKGROUND Breast cancer prognosis can be adversely influenced by obesity, physical inactivity and metabolic dysfunction. Interventions aimed at improving surrogate markers of breast cancer risk such as insulin resistance may result in improved breast cancer outcomes. The design of such interventions may be improved through increased understanding of metabolic presentation in this cohort. This cross-sectional study aimed to characterise the metabolic profile of breast cancer survivors relative to abdominal obesity and insulin resistance. A secondary aim was to compare measures of energy output across these groups. METHODS Sixty-nine women (mean (SD) age 53.43 (9.39) years) who had completed adjuvant chemotherapy and radiotherapy for breast cancer were recruited. All measures were completed during one assessment conducted 3.1 (1.0) years post diagnosis. Body composition was measured by bioimpedance analysis and waist circumference (WC). Fasting (12 hour) blood samples were drawn to measure lipid profile, glucose, insulin, glycosylated haemoglobin A1c (HBA1c) and C-reactive protein (CRP). Insulin resistance was estimated by the homeostatic model assessment index (HOMA-IR)). Energy output was evaluated by resting metabolic rate (RMR) measured by indirect calorimetry and physical activity measured by accelerometry. Characteristics were compared across four groups (1. WC &lt;80 cm, not insulin resistant; 2. WC 80-87.9 cm, not insulin resistant; 3. WC &gt;88 cm, not insulin resistant; 4. WC &gt;80 cm, insulin resistant) using ANOVA (p</w:instrText>
      </w:r>
      <w:r w:rsidRPr="003B4F77">
        <w:rPr>
          <w:rFonts w:eastAsia="Book Antiqua"/>
        </w:rPr>
        <w:instrText> </w:instrText>
      </w:r>
      <w:r w:rsidRPr="003B4F77">
        <w:rPr>
          <w:rFonts w:ascii="Book Antiqua" w:eastAsia="Book Antiqua" w:hAnsi="Book Antiqua" w:cs="Book Antiqua"/>
        </w:rPr>
        <w:instrText>&lt;</w:instrText>
      </w:r>
      <w:r w:rsidRPr="003B4F77">
        <w:rPr>
          <w:rFonts w:eastAsia="Book Antiqua"/>
        </w:rPr>
        <w:instrText> </w:instrText>
      </w:r>
      <w:r w:rsidRPr="003B4F77">
        <w:rPr>
          <w:rFonts w:ascii="Book Antiqua" w:eastAsia="Book Antiqua" w:hAnsi="Book Antiqua" w:cs="Book Antiqua"/>
        </w:rPr>
        <w:instrText>0.05). RESULTS Group 4 was characterised by significant disturbances in measures of glucose metabolism (glucose, insulin, HOMA-IR and HBA1c) and raised CRP compared to other groups. Group 4 also displayed evidence of dyslipidemia and higher body composition values compared to Groups 1 and 2. Both absolute and adjusted RMR were significantly higher in the Group 4 versus all other groups. Physical activity levels were similar for all groups. CONCLUSIONS The results from this study suggest that participants who were both centrally obese and insulin resistant showed evidence of dyslipidemia, low-grade inflammation and glucose dysregulation. Metabolic profiles of participants who were centrally obese only were not significantly different from lean participants. Consideration of baseline metabolic presentation may be useful when considering the therapeutic targets for future interventions in this cohort.","author":[{"dropping-particle":"","family":"Guinan","given":"Emer M","non-dropping-particle":"","parse-names":false,"suffix":""},{"dropping-particle":"","family":"Connolly","given":"Elizabeth M","non-dropping-particle":"","parse-names":false,"suffix":""},{"dropping-particle":"","family":"Kennedy","given":"M John","non-dropping-particle":"","parse-names":false,"suffix":""},{"dropping-particle":"","family":"Hussey","given":"Juliette","non-dropping-particle":"","parse-names":false,"suffix":""}],"container-title":"Nutrition journal","id":"ITEM-1","issue":"1","issued":{"date-parts":[["2013","7","15"]]},"page":"99","title":"The presentation of metabolic dysfunction and the relationship with energy output in breast cancer survivors: a cross-sectional study.","type":"article-journal","volume":"12"},"uris":["http://www.mendeley.com/documents/?uuid=7f114c63-be82-3f20-b9a9-84a1a12c34c0"]}],"mendeley":{"formattedCitation":"(22)","plainTextFormattedCitation":"(22)","previouslyFormattedCitation":"(21)"},"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(22)</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The average absolute REE of the group with the worst metabolic health (waist &gt; 88cm and insulin resistant) was greater than our BCS (6191 ± 959 vs. 5776 ± 798 kJ/day), whereas the LST adjusted REE was lower compared to the BCS in the present study (122 ± 10.7 vs. 151 ± 9.31 kJ/day/kg). Similarly in a large study by Cao et al.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10.1016/j.clnu.2009.07.001","ISSN":"02615614","author":[{"dropping-particle":"","family":"Cao","given":"Dong-xing","non-dropping-particle":"","parse-names":false,"suffix":""},{"dropping-particle":"","family":"Wu","given":"Guo-hao","non-dropping-particle":"","parse-names":false,"suffix":""},{"dropping-particle":"","family":"Zhang","given":"Bo","non-dropping-particle":"","parse-names":false,"suffix":""},{"dropping-particle":"","family":"Quan","given":"Ying-jun","non-dropping-particle":"","parse-names":false,"suffix":""},{"dropping-particle":"","family":"Wei","given":"Jia","non-dropping-particle":"","parse-names":false,"suffix":""},{"dropping-particle":"","family":"Jin","given":"Huan","non-dropping-particle":"","parse-names":false,"suffix":""},{"dropping-particle":"","family":"Jiang","given":"Yi","non-dropping-particle":"","parse-names":false,"suffix":""},{"dropping-particle":"","family":"Yang","given":"Zi-ang","non-dropping-particle":"","parse-names":false,"suffix":""}],"container-title":"Clinical Nutrition","id":"ITEM-1","issue":"1","issued":{"date-parts":[["2010","2"]]},"page":"72-77","title":"Resting energy expenditure and body composition in patients with newly detected cancer","type":"article-journal","volume":"29"},"uris":["http://www.mendeley.com/documents/?uuid=188c79f2-90a0-324b-b268-1ec5128864e9"]}],"mendeley":{"formattedCitation":"(9)","plainTextFormattedCitation":"(9)","previouslyFormattedCitation":"(9)"},"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(9)</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REE was not different between newly diagnosed cancer patients from various cancer types and healthy controls. However, when REE was adjusted to fat-free mass, the cancer patients had significantly higher REE regardless of age and gender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10.1016/j.clnu.2009.07.001","ISSN":"02615614","author":[{"dropping-particle":"","family":"Cao","given":"Dong-xing","non-dropping-particle":"","parse-names":false,"suffix":""},{"dropping-particle":"","family":"Wu","given":"Guo-hao","non-dropping-particle":"","parse-names":false,"suffix":""},{"dropping-particle":"","family":"Zhang","given":"Bo","non-dropping-particle":"","parse-names":false,"suffix":""},{"dropping-particle":"","family":"Quan","given":"Ying-jun","non-dropping-particle":"","parse-names":false,"suffix":""},{"dropping-particle":"","family":"Wei","given":"Jia","non-dropping-particle":"","parse-names":false,"suffix":""},{"dropping-particle":"","family":"Jin","given":"Huan","non-dropping-particle":"","parse-names":false,"suffix":""},{"dropping-particle":"","family":"Jiang","given":"Yi","non-dropping-particle":"","parse-names":false,"suffix":""},{"dropping-particle":"","family":"Yang","given":"Zi-ang","non-dropping-particle":"","parse-names":false,"suffix":""}],"container-title":"Clinical Nutrition","id":"ITEM-1","issue":"1","issued":{"date-parts":[["2010","2"]]},"page":"72-77","title":"Resting energy expenditure and body composition in patients with newly detected cancer","type":"article-journal","volume":"29"},"uris":["http://www.mendeley.com/documents/?uuid=188c79f2-90a0-324b-b268-1ec5128864e9"]}],"mendeley":{"formattedCitation":"(9)","plainTextFormattedCitation":"(9)","previouslyFormattedCitation":"(9)"},"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(9)</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Thus, the findings of our small pilot study suggest that BCS &gt; 5 years posttreatment may have unclear or similar metabolic function as age-matched women without a prior cancer diagnosis. </w:t>
      </w:r>
      <w:bookmarkStart w:id="5" w:name="_Hlk29560983"/>
      <w:r w:rsidRPr="003B4F77">
        <w:rPr>
          <w:rFonts w:ascii="Book Antiqua" w:eastAsia="Book Antiqua" w:hAnsi="Book Antiqua" w:cs="Book Antiqua"/>
        </w:rPr>
        <w:t xml:space="preserve">It is possible that a tumor developed in breast tissue may not result in a significant metabolic burden as compared to tumors in more metabolically active organs (e.g. liver, pancreas)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10.1016/j.clnu.2009.07.001","ISSN":"02615614","author":[{"dropping-particle":"","family":"Cao","given":"Dong-xing","non-dropping-particle":"","parse-names":false,"suffix":""},{"dropping-particle":"","family":"Wu","given":"Guo-hao","non-dropping-particle":"","parse-names":false,"suffix":""},{"dropping-particle":"","family":"Zhang","given":"Bo","non-dropping-particle":"","parse-names":false,"suffix":""},{"dropping-particle":"","family":"Quan","given":"Ying-jun","non-dropping-particle":"","parse-names":false,"suffix":""},{"dropping-particle":"","family":"Wei","given":"Jia","non-dropping-particle":"","parse-names":false,"suffix":""},{"dropping-particle":"","family":"Jin","given":"Huan","non-dropping-particle":"","parse-names":false,"suffix":""},{"dropping-particle":"","family":"Jiang","given":"Yi","non-dropping-particle":"","parse-names":false,"suffix":""},{"dropping-particle":"","family":"Yang","given":"Zi-ang","non-dropping-particle":"","parse-names":false,"suffix":""}],"container-title":"Clinical Nutrition","id":"ITEM-1","issue":"1","issued":{"date-parts":[["2010","2"]]},"page":"72-77","title":"Resting energy expenditure and body composition in patients with newly detected cancer","type":"article-journal","volume":"29"},"uris":["http://www.mendeley.com/documents/?uuid=188c79f2-90a0-324b-b268-1ec5128864e9"]}],"mendeley":{"formattedCitation":"(9)","plainTextFormattedCitation":"(9)","previouslyFormattedCitation":"(9)"},"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(9)</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w:t>
      </w:r>
      <w:bookmarkEnd w:id="5"/>
    </w:p>
    <w:p w:rsidR="001C6FA6" w:rsidRPr="003B4F77" w:rsidRDefault="001C6FA6" w:rsidP="001C6FA6">
      <w:pPr>
        <w:autoSpaceDE w:val="0"/>
        <w:autoSpaceDN w:val="0"/>
        <w:adjustRightInd w:val="0"/>
        <w:jc w:val="both"/>
        <w:rPr>
          <w:rFonts w:ascii="Book Antiqua" w:eastAsia="Book Antiqua" w:hAnsi="Book Antiqua" w:cs="Book Antiqua"/>
        </w:rPr>
      </w:pPr>
    </w:p>
    <w:p w:rsidR="001C6FA6" w:rsidRPr="003B4F77" w:rsidRDefault="001C6FA6" w:rsidP="001C6FA6">
      <w:pPr>
        <w:autoSpaceDE w:val="0"/>
        <w:autoSpaceDN w:val="0"/>
        <w:adjustRightInd w:val="0"/>
        <w:jc w:val="both"/>
        <w:rPr>
          <w:rFonts w:ascii="Book Antiqua" w:eastAsia="Book Antiqua" w:hAnsi="Book Antiqua" w:cs="Book Antiqua"/>
        </w:rPr>
      </w:pPr>
      <w:r w:rsidRPr="003B4F77">
        <w:rPr>
          <w:rFonts w:ascii="Book Antiqua" w:eastAsia="Book Antiqua" w:hAnsi="Book Antiqua" w:cs="Book Antiqua"/>
        </w:rPr>
        <w:lastRenderedPageBreak/>
        <w:t xml:space="preserve">The present study also measured the acute-phase reactant CRP to determine the inflammatory status of our participants. Similarities in the body composition of our participants may explain the lack of differences in serum CRP between the BCS and controls. </w:t>
      </w:r>
      <w:bookmarkStart w:id="6" w:name="_Hlk26901055"/>
      <w:r w:rsidRPr="003B4F77">
        <w:rPr>
          <w:rFonts w:ascii="Book Antiqua" w:eastAsia="Book Antiqua" w:hAnsi="Book Antiqua" w:cs="Book Antiqua"/>
        </w:rPr>
        <w:t xml:space="preserve">Despite the lack of group differences, more BCS (53%) had chronic low-grade inflammation (CRP &gt; 3.0 mg/L) compared to controls (16%). </w:t>
      </w:r>
      <w:bookmarkEnd w:id="6"/>
      <w:r w:rsidRPr="003B4F77">
        <w:rPr>
          <w:rFonts w:ascii="Book Antiqua" w:eastAsia="Book Antiqua" w:hAnsi="Book Antiqua" w:cs="Book Antiqua"/>
        </w:rPr>
        <w:t>The average CRP values of the BCS (3.74 ± 1.45 mg/L) and controls</w:t>
      </w:r>
      <w:r w:rsidR="00665266">
        <w:rPr>
          <w:rFonts w:ascii="Book Antiqua" w:eastAsia="Book Antiqua" w:hAnsi="Book Antiqua" w:cs="Book Antiqua"/>
        </w:rPr>
        <w:t xml:space="preserve"> </w:t>
      </w:r>
      <w:r w:rsidRPr="003B4F77">
        <w:rPr>
          <w:rFonts w:ascii="Book Antiqua" w:eastAsia="Book Antiqua" w:hAnsi="Book Antiqua" w:cs="Book Antiqua"/>
        </w:rPr>
        <w:t xml:space="preserve">(3.34 ± 1.64 mg/L) in the present study were greater than the BCS in the normal to moderate weight, non-insulin resistant groups (1.53-2.09 mg/L) but less than the obese, insulin resistant BCS (4.98 ± 3.46 mg/L) in the study by Guinan et al.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{"citationItems":[{"id":"ITEM-1","itemData":{"DOI":"10.1186/1475-2891-12-99","ISSN":"1475-2891","PMID":"23855321","abstract":"BACKGROUND Breast cancer prognosis can be adversely influenced by obesity, physical inactivity and metabolic dysfunction. Interventions aimed at improving surrogate markers of breast cancer risk such as insulin resistance may result in improved breast cancer outcomes. The design of such interventions may be improved through increased understanding of metabolic presentation in this cohort. This cross-sectional study aimed to characterise the metabolic profile of breast cancer survivors relative to abdominal obesity and insulin resistance. A secondary aim was to compare measures of energy output across these groups. METHODS Sixty-nine women (mean (SD) age 53.43 (9.39) years) who had completed adjuvant chemotherapy and radiotherapy for breast cancer were recruited. All measures were completed during one assessment conducted 3.1 (1.0) years post diagnosis. Body composition was measured by bioimpedance analysis and waist circumference (WC). Fasting (12 hour) blood samples were drawn to measure lipid profile, glucose, insulin, glycosylated haemoglobin A1c (HBA1c) and C-reactive protein (CRP). Insulin resistance was estimated by the homeostatic model assessment index (HOMA-IR)). Energy output was evaluated by resting metabolic rate (RMR) measured by indirect calorimetry and physical activity measured by accelerometry. Characteristics were compared across four groups (1. WC &lt;80 cm, not insulin resistant; 2. WC 80-87.9 cm, not insulin resistant; 3. WC &gt;88 cm, not insulin resistant; 4. WC &gt;80 cm, insulin resistant) using ANOVA (p</w:instrText>
      </w:r>
      <w:r w:rsidRPr="003B4F77">
        <w:rPr>
          <w:rFonts w:eastAsia="Book Antiqua"/>
        </w:rPr>
        <w:instrText> </w:instrText>
      </w:r>
      <w:r w:rsidRPr="003B4F77">
        <w:rPr>
          <w:rFonts w:ascii="Book Antiqua" w:eastAsia="Book Antiqua" w:hAnsi="Book Antiqua" w:cs="Book Antiqua"/>
        </w:rPr>
        <w:instrText>&lt;</w:instrText>
      </w:r>
      <w:r w:rsidRPr="003B4F77">
        <w:rPr>
          <w:rFonts w:eastAsia="Book Antiqua"/>
        </w:rPr>
        <w:instrText> </w:instrText>
      </w:r>
      <w:r w:rsidRPr="003B4F77">
        <w:rPr>
          <w:rFonts w:ascii="Book Antiqua" w:eastAsia="Book Antiqua" w:hAnsi="Book Antiqua" w:cs="Book Antiqua"/>
        </w:rPr>
        <w:instrText>0.05). RESULTS Group 4 was characterised by significant disturbances in measures of glucose metabolism (glucose, insulin, HOMA-IR and HBA1c) and raised CRP compared to other groups. Group 4 also displayed evidence of dyslipidemia and higher body composition values compared to Groups 1 and 2. Both absolute and adjusted RMR were significantly higher in the Group 4 versus all other groups. Physical activity levels were similar for all groups. CONCLUSIONS The results from this study suggest that participants who were both centrally obese and insulin resistant showed evidence of dyslipidemia, low-grade inflammation and glucose dysregulation. Metabolic profiles of participants who were centrally obese only were not significantly different from lean participants. Consideration of baseline metabolic presentation may be useful when considering the therapeutic targets for future interventions in this cohort.","author":[{"dropping-particle":"","family":"Guinan","given":"Emer M","non-dropping-particle":"","parse-names":false,"suffix":""},{"dropping-particle":"","family":"Connolly","given":"Elizabeth M","non-dropping-particle":"","parse-names":false,"suffix":""},{"dropping-particle":"","family":"Kennedy","given":"M John","non-dropping-particle":"","parse-names":false,"suffix":""},{"dropping-particle":"","family":"Hussey","given":"Juliette","non-dropping-particle":"","parse-names":false,"suffix":""}],"container-title":"Nutrition journal","id":"ITEM-1","issue":"1","issued":{"date-parts":[["2013","7","15"]]},"page":"99","title":"The presentation of metabolic dysfunction and the relationship with energy output in breast cancer survivors: a cross-sectional study.","type":"article-journal","volume":"12"},"uris":["http://www.mendeley.com/documents/?uuid=7f114c63-be82-3f20-b9a9-84a1a12c34c0"]}],"mendeley":{"formattedCitation":"(22)","plainTextFormattedCitation":"(22)","previouslyFormattedCitation":"(21)"},"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(22)</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Therefore, it is unclear if the interaction between body composition and metabolic profiles differs in BCS several years posttreatment with that of age-matched women without a prior cancer diagnosis. Nevertheless, evidence suggests a significant association between elevated CRP with increased risk of and reduced survival from breast cancer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{"citationItems":[{"id":"ITEM-1","itemData":{"DOI":"10.1155/2015/145647","ISSN":"2090-3170","PMID":"26693355","abstract":"Recently an association between breast cancer and inflammation has emerged as the seventh hallmark of cancer. Chronic inflammation is a key contributor in the development and progression of carcinogenesis. Inflammatory pathways play an important role in the causation of breast cancer. C-reactive protein (CRP) an acute-phase reactant inflammatory protein is synthesized in hepatocytes in response to cytokines that are released from leucocytes within the tumor microenvironment. Several epidemiological studies appraised an association of CRP with breast cancer risk with inconsistent findings. Elevated levels at the time of diagnosis of breast cancer indicate aggressiveness of the tumor. CRP is also a well-established independent prognostic marker. Breast cancer survivors with the state of chronic inflammation are at risk of recurrence and metabolic disturbances. CRP lowering agents along with chemotherapeutic drugs will improve the survival of breast cancer patients. Also, it is a risk predictor for subsequent cardiotoxicity in patients receiving chemotherapy. The present review is aimed at elucidating the role of C-reactive protein, as an inflammatory risk marker and prognostic predictor of breast cancer. It also focuses on conflicting views on the role of CRP in breast cancer and its impact on therapeutic interventions.","author":[{"dropping-particle":"","family":"Asegaonkar","given":"Shilpa Balaji","non-dropping-particle":"","parse-names":false,"suffix":""},{"dropping-particle":"","family":"Asegaonkar","given":"Balaji Narayanrao","non-dropping-particle":"","parse-names":false,"suffix":""},{"dropping-particle":"","family":"Takalkar","given":"Unmesh Vidyadhar","non-dropping-particle":"","parse-names":false,"suffix":""},{"dropping-particle":"","family":"Advani","given":"Suresh","non-dropping-particle":"","parse-names":false,"suffix":""},{"dropping-particle":"","family":"Thorat","given":"Anand Pandurang","non-dropping-particle":"","parse-names":false,"suffix":""}],"container-title":"International journal of breast cancer","id":"ITEM-1","issued":{"date-parts":[["2015"]]},"page":"145647","title":"C-Reactive Protein and Breast Cancer: New Insights from Old Molecule.","type":"article-journal","volume":"2015"},"uris":["http://www.mendeley.com/documents/?uuid=c6fbdcdc-49cf-3407-a47e-f6b2dafc3124"]}],"mendeley":{"formattedCitation":"(4)","plainTextFormattedCitation":"(4)","previouslyFormattedCitation":"(4)"},"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(4)</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Further, survivors in a chronic state of inflammation have a higher chance of cancer recurrence and metabolic disturbances </w:t>
      </w:r>
      <w:r w:rsidRPr="003B4F77">
        <w:rPr>
          <w:rFonts w:ascii="Book Antiqua" w:eastAsia="Book Antiqua" w:hAnsi="Book Antiqua" w:cs="Book Antiqua"/>
        </w:rPr>
        <w:fldChar w:fldCharType="begin" w:fldLock="1"/>
      </w:r>
      <w:r w:rsidRPr="003B4F77">
        <w:rPr>
          <w:rFonts w:ascii="Book Antiqua" w:eastAsia="Book Antiqua" w:hAnsi="Book Antiqua" w:cs="Book Antiqua"/>
        </w:rPr>
        <w:instrText>ADDIN CSL_CITATION {"citationItems":[{"id":"ITEM-1","itemData":{"DOI":"10.1155/2015/145647","ISSN":"2090-3170","PMID":"26693355","abstract":"Recently an association between breast cancer and inflammation has emerged as the seventh hallmark of cancer. Chronic inflammation is a key contributor in the development and progression of carcinogenesis. Inflammatory pathways play an important role in the causation of breast cancer. C-reactive protein (CRP) an acute-phase reactant inflammatory protein is synthesized in hepatocytes in response to cytokines that are released from leucocytes within the tumor microenvironment. Several epidemiological studies appraised an association of CRP with breast cancer risk with inconsistent findings. Elevated levels at the time of diagnosis of breast cancer indicate aggressiveness of the tumor. CRP is also a well-established independent prognostic marker. Breast cancer survivors with the state of chronic inflammation are at risk of recurrence and metabolic disturbances. CRP lowering agents along with chemotherapeutic drugs will improve the survival of breast cancer patients. Also, it is a risk predictor for subsequent cardiotoxicity in patients receiving chemotherapy. The present review is aimed at elucidating the role of C-reactive protein, as an inflammatory risk marker and prognostic predictor of breast cancer. It also focuses on conflicting views on the role of CRP in breast cancer and its impact on therapeutic interventions.","author":[{"dropping-particle":"","family":"Asegaonkar","given":"Shilpa Balaji","non-dropping-particle":"","parse-names":false,"suffix":""},{"dropping-particle":"","family":"Asegaonkar","given":"Balaji Narayanrao","non-dropping-particle":"","parse-names":false,"suffix":""},{"dropping-particle":"","family":"Takalkar","given":"Unmesh Vidyadhar","non-dropping-particle":"","parse-names":false,"suffix":""},{"dropping-particle":"","family":"Advani","given":"Suresh","non-dropping-particle":"","parse-names":false,"suffix":""},{"dropping-particle":"","family":"Thorat","given":"Anand Pandurang","non-dropping-particle":"","parse-names":false,"suffix":""}],"container-title":"International journal of breast cancer","id":"ITEM-1","issued":{"date-parts":[["2015"]]},"page":"145647","title":"C-Reactive Protein and Breast Cancer: New Insights from Old Molecule.","type":"article-journal","volume":"2015"},"uris":["http://www.mendeley.com/documents/?uuid=c6fbdcdc-49cf-3407-a47e-f6b2dafc3124"]}],"mendeley":{"formattedCitation":"(4)","plainTextFormattedCitation":"(4)","previouslyFormattedCitation":"(4)"},"properties":{"noteIndex":0},"schema":"https://github.com/citation-style-language/schema/raw/master/csl-citation.json"}</w:instrText>
      </w:r>
      <w:r w:rsidRPr="003B4F77">
        <w:rPr>
          <w:rFonts w:ascii="Book Antiqua" w:eastAsia="Book Antiqua" w:hAnsi="Book Antiqua" w:cs="Book Antiqua"/>
        </w:rPr>
        <w:fldChar w:fldCharType="separate"/>
      </w:r>
      <w:r w:rsidRPr="003B4F77">
        <w:rPr>
          <w:rFonts w:ascii="Book Antiqua" w:eastAsia="Book Antiqua" w:hAnsi="Book Antiqua" w:cs="Book Antiqua"/>
          <w:noProof/>
        </w:rPr>
        <w:t>(4)</w:t>
      </w:r>
      <w:r w:rsidRPr="003B4F77">
        <w:rPr>
          <w:rFonts w:ascii="Book Antiqua" w:eastAsia="Book Antiqua" w:hAnsi="Book Antiqua" w:cs="Book Antiqua"/>
        </w:rPr>
        <w:fldChar w:fldCharType="end"/>
      </w:r>
      <w:r w:rsidRPr="003B4F77">
        <w:rPr>
          <w:rFonts w:ascii="Book Antiqua" w:eastAsia="Book Antiqua" w:hAnsi="Book Antiqua" w:cs="Book Antiqua"/>
        </w:rPr>
        <w:t xml:space="preserve">. Thus, regardless of cancer diagnosis, interventions to reduce chronic inflammation are necessary for postmenopausal women. </w:t>
      </w:r>
    </w:p>
    <w:p w:rsidR="001C6FA6" w:rsidRPr="003B4F77" w:rsidRDefault="001C6FA6" w:rsidP="001C6FA6">
      <w:pPr>
        <w:autoSpaceDE w:val="0"/>
        <w:autoSpaceDN w:val="0"/>
        <w:adjustRightInd w:val="0"/>
        <w:jc w:val="both"/>
        <w:rPr>
          <w:rFonts w:ascii="Book Antiqua" w:hAnsi="Book Antiqua" w:cs="Garamond-Light"/>
          <w:sz w:val="22"/>
          <w:szCs w:val="20"/>
        </w:rPr>
      </w:pPr>
    </w:p>
    <w:p w:rsidR="001C6FA6" w:rsidRPr="003B4F77" w:rsidRDefault="001C6FA6" w:rsidP="001C6FA6">
      <w:pPr>
        <w:jc w:val="both"/>
        <w:rPr>
          <w:rFonts w:ascii="Book Antiqua" w:eastAsia="Book Antiqua" w:hAnsi="Book Antiqua" w:cs="Book Antiqua"/>
        </w:rPr>
      </w:pPr>
      <w:bookmarkStart w:id="7" w:name="_Hlk26902057"/>
      <w:r w:rsidRPr="003B4F77">
        <w:rPr>
          <w:rFonts w:ascii="Book Antiqua" w:eastAsia="Book Antiqua" w:hAnsi="Book Antiqua" w:cs="Book Antiqua"/>
        </w:rPr>
        <w:t>It is important to note that the BCS in the present study were</w:t>
      </w:r>
      <w:r w:rsidRPr="003B4F77">
        <w:rPr>
          <w:rFonts w:ascii="Book Antiqua" w:eastAsia="Book Antiqua" w:hAnsi="Book Antiqua" w:cs="Book Antiqua"/>
          <w:color w:val="FF0000"/>
        </w:rPr>
        <w:t xml:space="preserve"> </w:t>
      </w:r>
      <w:r w:rsidRPr="003B4F77">
        <w:rPr>
          <w:rFonts w:ascii="Book Antiqua" w:eastAsia="Book Antiqua" w:hAnsi="Book Antiqua" w:cs="Book Antiqua"/>
        </w:rPr>
        <w:t xml:space="preserve">primarily diagnosed with stage I breast cancer (62%) and 59% of our BCS were treated with chemotherapy. In addition, we determined that only 2 BCS in our sample had low muscle mass (sarcopenia). Therefore our findings suggest that the amount of LST plays a role in the comparable metabolism between the BCS and postmenopausal women in our study. This highlights the importance of maintaining and/or regaining LST in BCS. Whether metabolism differs in BCS that had a more advanced stage diagnosis still needs to be determined. </w:t>
      </w:r>
    </w:p>
    <w:bookmarkEnd w:id="7"/>
    <w:p w:rsidR="001C6FA6" w:rsidRPr="003B4F77" w:rsidRDefault="001C6FA6" w:rsidP="001C6FA6">
      <w:pPr>
        <w:jc w:val="both"/>
        <w:rPr>
          <w:rFonts w:ascii="Book Antiqua" w:eastAsia="Book Antiqua" w:hAnsi="Book Antiqua" w:cs="Book Antiqua"/>
        </w:rPr>
      </w:pPr>
    </w:p>
    <w:p w:rsidR="001C6FA6" w:rsidRPr="003B4F77" w:rsidRDefault="001C6FA6" w:rsidP="001C6FA6">
      <w:pPr>
        <w:jc w:val="both"/>
        <w:rPr>
          <w:rFonts w:ascii="Book Antiqua" w:eastAsia="Book Antiqua" w:hAnsi="Book Antiqua" w:cs="Book Antiqua"/>
        </w:rPr>
      </w:pPr>
      <w:r w:rsidRPr="003B4F77">
        <w:rPr>
          <w:rFonts w:ascii="Book Antiqua" w:eastAsia="Book Antiqua" w:hAnsi="Book Antiqua" w:cs="Book Antiqua"/>
        </w:rPr>
        <w:t>The present study did have some limitations. First, this cross-sectional study had a relatively small sample size of BCS and controls, therefore future studies including larger sample sizes are needed to confirm our findings. Secondly, we did not collect physical activity and dietary data that may explain the similarities between BCS and controls. Lastly, our study contained a heterogeneous sample of BCS that differed in their diagnosis, time since diagnosis, and type of treatment which may have affected the extent of side effects experienced. Therefore, differences between BCS and controls in our main outcome measures may have been attenuated.</w:t>
      </w:r>
    </w:p>
    <w:p w:rsidR="001C6FA6" w:rsidRPr="003B4F77" w:rsidRDefault="001C6FA6" w:rsidP="001C6FA6">
      <w:pPr>
        <w:jc w:val="both"/>
        <w:rPr>
          <w:rFonts w:ascii="Book Antiqua" w:eastAsia="Book Antiqua" w:hAnsi="Book Antiqua" w:cs="Book Antiqua"/>
        </w:rPr>
      </w:pPr>
    </w:p>
    <w:p w:rsidR="001C6FA6" w:rsidRPr="00D9257F" w:rsidRDefault="001C6FA6" w:rsidP="001C6FA6">
      <w:pPr>
        <w:jc w:val="both"/>
        <w:rPr>
          <w:rFonts w:ascii="Book Antiqua" w:eastAsia="Book Antiqua" w:hAnsi="Book Antiqua" w:cs="Book Antiqua"/>
          <w:b/>
        </w:rPr>
      </w:pPr>
      <w:r w:rsidRPr="003B4F77">
        <w:rPr>
          <w:rFonts w:ascii="Book Antiqua" w:eastAsia="Book Antiqua" w:hAnsi="Book Antiqua" w:cs="Book Antiqua"/>
        </w:rPr>
        <w:t xml:space="preserve">In conclusion, our small study shows BCS that are on average several years post-completion of primary treatment have similar body composition, absolute REE, RQ, and circulating CRP levels to age-matched women without a prior cancer diagnosis. However, when REE was adjusted for LST, the BCS had greater relative REE compared to controls. More research studies with larger sample sizes of BCS are needed to determine if the accelerated treatment related decrements in these health outcomes extend far </w:t>
      </w:r>
      <w:r w:rsidR="0097755E" w:rsidRPr="003B4F77">
        <w:rPr>
          <w:rFonts w:ascii="Book Antiqua" w:eastAsia="Book Antiqua" w:hAnsi="Book Antiqua" w:cs="Book Antiqua"/>
        </w:rPr>
        <w:t>into</w:t>
      </w:r>
      <w:r w:rsidRPr="003B4F77">
        <w:rPr>
          <w:rFonts w:ascii="Book Antiqua" w:eastAsia="Book Antiqua" w:hAnsi="Book Antiqua" w:cs="Book Antiqua"/>
        </w:rPr>
        <w:t xml:space="preserve"> the survival years. In addition, larger studies may determine if the similar health outcomes in BCS are in fact a result of more proactive and health conscious activities in the years after completion of treatment.</w:t>
      </w:r>
    </w:p>
    <w:p w:rsidR="00684A32" w:rsidRDefault="00684A32" w:rsidP="00B40715">
      <w:pPr>
        <w:jc w:val="both"/>
        <w:rPr>
          <w:rFonts w:ascii="Book Antiqua" w:hAnsi="Book Antiqua" w:cs="Aharoni"/>
          <w:b/>
        </w:rPr>
      </w:pPr>
    </w:p>
    <w:p w:rsidR="00D92D01" w:rsidRDefault="00D92D01" w:rsidP="00B40715">
      <w:pPr>
        <w:jc w:val="both"/>
        <w:rPr>
          <w:rFonts w:ascii="Book Antiqua" w:hAnsi="Book Antiqua" w:cs="Aharoni"/>
          <w:b/>
        </w:rPr>
      </w:pPr>
      <w:r>
        <w:rPr>
          <w:rFonts w:ascii="Book Antiqua" w:hAnsi="Book Antiqua" w:cs="Aharoni"/>
          <w:b/>
        </w:rPr>
        <w:t>ACKNOWLEDGEMENTS</w:t>
      </w:r>
    </w:p>
    <w:p w:rsidR="00D92D01" w:rsidRDefault="00D92D01" w:rsidP="00B40715">
      <w:pPr>
        <w:jc w:val="both"/>
        <w:rPr>
          <w:rFonts w:ascii="Book Antiqua" w:hAnsi="Book Antiqua" w:cs="Aharoni"/>
        </w:rPr>
      </w:pPr>
    </w:p>
    <w:p w:rsidR="00D92D01" w:rsidRDefault="001C6FA6" w:rsidP="00B40715">
      <w:pPr>
        <w:jc w:val="both"/>
        <w:rPr>
          <w:rFonts w:ascii="Book Antiqua" w:hAnsi="Book Antiqua"/>
        </w:rPr>
      </w:pPr>
      <w:r w:rsidRPr="001C6FA6">
        <w:rPr>
          <w:rFonts w:ascii="Book Antiqua" w:hAnsi="Book Antiqua"/>
        </w:rPr>
        <w:lastRenderedPageBreak/>
        <w:t xml:space="preserve">The authors would like to thank the participants for their dedication and participation in this study. We are grateful to </w:t>
      </w:r>
      <w:r>
        <w:rPr>
          <w:rFonts w:ascii="Book Antiqua" w:hAnsi="Book Antiqua"/>
        </w:rPr>
        <w:t>Emily Harrison</w:t>
      </w:r>
      <w:r w:rsidRPr="001C6FA6">
        <w:rPr>
          <w:rFonts w:ascii="Book Antiqua" w:hAnsi="Book Antiqua"/>
        </w:rPr>
        <w:t xml:space="preserve"> for assistance with data </w:t>
      </w:r>
      <w:r>
        <w:rPr>
          <w:rFonts w:ascii="Book Antiqua" w:hAnsi="Book Antiqua"/>
        </w:rPr>
        <w:t>collection</w:t>
      </w:r>
      <w:r w:rsidRPr="001C6FA6">
        <w:rPr>
          <w:rFonts w:ascii="Book Antiqua" w:hAnsi="Book Antiqua"/>
        </w:rPr>
        <w:t>. Funding was provided by Elon University Undergraduate Research Program</w:t>
      </w:r>
      <w:r>
        <w:rPr>
          <w:rFonts w:ascii="Book Antiqua" w:hAnsi="Book Antiqua"/>
        </w:rPr>
        <w:t xml:space="preserve"> and the Elon Faculty Research and Development Program</w:t>
      </w:r>
      <w:r w:rsidRPr="001C6FA6">
        <w:rPr>
          <w:rFonts w:ascii="Book Antiqua" w:hAnsi="Book Antiqua"/>
        </w:rPr>
        <w:t>.</w:t>
      </w:r>
    </w:p>
    <w:p w:rsidR="001C6FA6" w:rsidRDefault="001C6FA6" w:rsidP="00B40715">
      <w:pPr>
        <w:jc w:val="both"/>
        <w:rPr>
          <w:rFonts w:ascii="Book Antiqua" w:hAnsi="Book Antiqua" w:cs="Aharoni"/>
          <w:b/>
        </w:rPr>
      </w:pPr>
    </w:p>
    <w:p w:rsidR="00B40715" w:rsidRPr="00635467" w:rsidRDefault="00BC5097" w:rsidP="00B40715">
      <w:pPr>
        <w:jc w:val="both"/>
        <w:rPr>
          <w:rFonts w:ascii="Book Antiqua" w:hAnsi="Book Antiqua" w:cs="Aharoni"/>
          <w:b/>
        </w:rPr>
      </w:pPr>
      <w:r w:rsidRPr="00635467">
        <w:rPr>
          <w:rFonts w:ascii="Book Antiqua" w:hAnsi="Book Antiqua" w:cs="Aharoni"/>
          <w:b/>
        </w:rPr>
        <w:t>REFERENCES</w:t>
      </w:r>
    </w:p>
    <w:p w:rsidR="002D5DA0" w:rsidRDefault="002D5DA0" w:rsidP="005B72D7">
      <w:pPr>
        <w:jc w:val="both"/>
        <w:rPr>
          <w:rFonts w:ascii="Book Antiqua" w:hAnsi="Book Antiqua"/>
        </w:rPr>
      </w:pP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1. </w:t>
      </w:r>
      <w:r w:rsidRPr="00FB45BE">
        <w:rPr>
          <w:rFonts w:ascii="Book Antiqua" w:hAnsi="Book Antiqua"/>
          <w:noProof/>
          <w:sz w:val="20"/>
        </w:rPr>
        <w:tab/>
        <w:t>Al-Majid S, McCarthy DO. Cancer-Induced Fatigue and Skeletal Muscle Wasting: The Role of Exercise. Biol Res Nurs 2(3): 186–97, 2001.</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2. </w:t>
      </w:r>
      <w:r w:rsidRPr="00FB45BE">
        <w:rPr>
          <w:rFonts w:ascii="Book Antiqua" w:hAnsi="Book Antiqua"/>
          <w:noProof/>
          <w:sz w:val="20"/>
        </w:rPr>
        <w:tab/>
        <w:t>Arjmandi BH, Khalil DA, Lucas EA, Georgis A, Stoecker BJ, Hardin C, et al. Dried Plums Improve Indices of Bone Formation in Postmenopausal Women. J Womens Health Gend Based Med 11(1): 61–8, 2002.</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3. </w:t>
      </w:r>
      <w:r w:rsidRPr="00FB45BE">
        <w:rPr>
          <w:rFonts w:ascii="Book Antiqua" w:hAnsi="Book Antiqua"/>
          <w:noProof/>
          <w:sz w:val="20"/>
        </w:rPr>
        <w:tab/>
        <w:t>Artese AL, Simonavice E, Madzima TA, Kim J-S, Arjmandi BH, Ilich JZ, et al. Body composition and bone mineral density in breast cancer survivors and non-cancer controls: A 12- to 15-month follow-up. Eur J Cancer Care (Engl) , 2018.</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4. </w:t>
      </w:r>
      <w:r w:rsidRPr="00FB45BE">
        <w:rPr>
          <w:rFonts w:ascii="Book Antiqua" w:hAnsi="Book Antiqua"/>
          <w:noProof/>
          <w:sz w:val="20"/>
        </w:rPr>
        <w:tab/>
        <w:t>Asegaonkar SB, Asegaonkar BN, Takalkar UV, Advani S, Thorat AP. C-Reactive Protein and Breast Cancer: New Insights from Old Molecule. Int J Breast Cancer 2015: 145647, 2015.</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5. </w:t>
      </w:r>
      <w:r w:rsidRPr="00FB45BE">
        <w:rPr>
          <w:rFonts w:ascii="Book Antiqua" w:hAnsi="Book Antiqua"/>
          <w:noProof/>
          <w:sz w:val="20"/>
        </w:rPr>
        <w:tab/>
        <w:t>Baumgartner RN, Waters DL, Gallagher D, Morley JE, Garry PJ. Predictors of skeletal muscle mass in elderly men and women. Mech Ageing Dev 107(2): 123–36, 1999.</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6. </w:t>
      </w:r>
      <w:r w:rsidRPr="00FB45BE">
        <w:rPr>
          <w:rFonts w:ascii="Book Antiqua" w:hAnsi="Book Antiqua"/>
          <w:noProof/>
          <w:sz w:val="20"/>
        </w:rPr>
        <w:tab/>
        <w:t>Bines J, Oleske DM, Cobleigh MA. Ovarian function in premenopausal women treated with adjuvant chemotherapy for breast cancer. J Clin Oncol 14(5): 1718–29, 1996.</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7. </w:t>
      </w:r>
      <w:r w:rsidRPr="00FB45BE">
        <w:rPr>
          <w:rFonts w:ascii="Book Antiqua" w:hAnsi="Book Antiqua"/>
          <w:noProof/>
          <w:sz w:val="20"/>
        </w:rPr>
        <w:tab/>
        <w:t>Bruun JM, Lihn AS, Verdich C, Pedersen SB, Toubro S, Astrup A, et al. Regulation of adiponectin by adipose tissue-derived cytokines: in vivo and in vitro investigations in humans. Am J Physiol Metab 285(3): E527–33, 2003.</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8. </w:t>
      </w:r>
      <w:r w:rsidRPr="00FB45BE">
        <w:rPr>
          <w:rFonts w:ascii="Book Antiqua" w:hAnsi="Book Antiqua"/>
          <w:noProof/>
          <w:sz w:val="20"/>
        </w:rPr>
        <w:tab/>
        <w:t>Campbell KL, Lane K, Martin AD, Gelmon KA, McKenzie DC. Resting Energy Expenditure and Body Mass Changes in Women During Adjuvant Chemotherapy for Breast Cancer. Cancer Nurs 30(2): 95–100, 2007.</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9. </w:t>
      </w:r>
      <w:r w:rsidRPr="00FB45BE">
        <w:rPr>
          <w:rFonts w:ascii="Book Antiqua" w:hAnsi="Book Antiqua"/>
          <w:noProof/>
          <w:sz w:val="20"/>
        </w:rPr>
        <w:tab/>
        <w:t>Cao D, Wu G, Zhang B, Quan Y, Wei J, Jin H, et al. Resting energy expenditure and body composition in patients with newly detected cancer. Clin Nutr 29(1): 72–7, 2010.</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10. </w:t>
      </w:r>
      <w:r w:rsidRPr="00FB45BE">
        <w:rPr>
          <w:rFonts w:ascii="Book Antiqua" w:hAnsi="Book Antiqua"/>
          <w:noProof/>
          <w:sz w:val="20"/>
        </w:rPr>
        <w:tab/>
        <w:t>Chen Z, Maricic M, Bassford TL, Pettinger M, Ritenbaugh C, Lopez AM, et al. Fracture Risk Among Breast Cancer Survivors. Arch Intern Med 165(5): 552, 2005.</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11. </w:t>
      </w:r>
      <w:r w:rsidRPr="00FB45BE">
        <w:rPr>
          <w:rFonts w:ascii="Book Antiqua" w:hAnsi="Book Antiqua"/>
          <w:noProof/>
          <w:sz w:val="20"/>
        </w:rPr>
        <w:tab/>
        <w:t>Conde DM, Costa-Paiva L, Martinez EZ, Pinto-Neto AM. Low Bone Mineral Density in Middle-Aged Breast Cancer Survivors: Prevalence and Associated Factors. Breast Care 7(2): 121–5, 2012.</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12. </w:t>
      </w:r>
      <w:r w:rsidRPr="00FB45BE">
        <w:rPr>
          <w:rFonts w:ascii="Book Antiqua" w:hAnsi="Book Antiqua"/>
          <w:noProof/>
          <w:sz w:val="20"/>
        </w:rPr>
        <w:tab/>
        <w:t>Crandall C, Petersen L, Ganz PA, Greendale GA. Bone mineral density and adjuvant therapy in breast cancer survivors. Breast Cancer Res Treat 88(3): 257–61, 2004.</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13. </w:t>
      </w:r>
      <w:r w:rsidRPr="00FB45BE">
        <w:rPr>
          <w:rFonts w:ascii="Book Antiqua" w:hAnsi="Book Antiqua"/>
          <w:noProof/>
          <w:sz w:val="20"/>
        </w:rPr>
        <w:tab/>
        <w:t>Demark-Wahnefried W, Hars V, Conaway MR, Havlin K, Rimer BK, McElveen G, et al. Reduced rates of metabolism and decreased physical activity in breast cancer patients receiving adjuvant chemotherapy. Am J Clin Nutr 65(5): 1495–501, 1997.</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14. </w:t>
      </w:r>
      <w:r w:rsidRPr="00FB45BE">
        <w:rPr>
          <w:rFonts w:ascii="Book Antiqua" w:hAnsi="Book Antiqua"/>
          <w:noProof/>
          <w:sz w:val="20"/>
        </w:rPr>
        <w:tab/>
        <w:t>Demark-Wahnefried W, Peterson BL, Winer EP, Marks L, Aziz N, Marcom PK, et al. Changes in weight, body composition, and factors influencing energy balance among premenopausal breast cancer patients receiving adjuvant chemotherapy. J Clin Oncol 19(9): 2381–9, 2001.</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15. </w:t>
      </w:r>
      <w:r w:rsidRPr="00FB45BE">
        <w:rPr>
          <w:rFonts w:ascii="Book Antiqua" w:hAnsi="Book Antiqua"/>
          <w:noProof/>
          <w:sz w:val="20"/>
        </w:rPr>
        <w:tab/>
        <w:t>Dodson S, Baracos VE, Jatoi A, Evans WJ, Cella D, Dalton JT, et al. Muscle wasting in cancer cachexia: clinical implications, diagnosis, and emerging treatment strategies. Annu Rev Med 62(1): 265–79, 2011.</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16. </w:t>
      </w:r>
      <w:r w:rsidRPr="00FB45BE">
        <w:rPr>
          <w:rFonts w:ascii="Book Antiqua" w:hAnsi="Book Antiqua"/>
          <w:noProof/>
          <w:sz w:val="20"/>
        </w:rPr>
        <w:tab/>
        <w:t>Duggan C, Irwin ML, Xiao L, Henderson KD, Smith AW, Baumgartner RN, et al. Associations of Insulin Resistance and Adiponectin With Mortality in Women With Breast Cancer. J Clin Oncol 29(1): 32–9, 2011.</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17. </w:t>
      </w:r>
      <w:r w:rsidRPr="00FB45BE">
        <w:rPr>
          <w:rFonts w:ascii="Book Antiqua" w:hAnsi="Book Antiqua"/>
          <w:noProof/>
          <w:sz w:val="20"/>
        </w:rPr>
        <w:tab/>
        <w:t>Ferreira Poloni P, Vespoli HDL, Almeida-Filho B de S, Bueloni-Dias F, Nahas-Neto J, Nahas EAP. Low bone mineral density is associated with breast cancer in postmenopausal women: a case–control study. Climacteric 20(5): 491–7, 2017.</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18. </w:t>
      </w:r>
      <w:r w:rsidRPr="00FB45BE">
        <w:rPr>
          <w:rFonts w:ascii="Book Antiqua" w:hAnsi="Book Antiqua"/>
          <w:noProof/>
          <w:sz w:val="20"/>
        </w:rPr>
        <w:tab/>
        <w:t>Freedman RJ, Aziz N, Albanes D, Hartman T, Danforth D, Hill S, et al. Weight and body composition changes during and after adjuvant chemotherapy in women with breast cancer. J Clin Endocrinol Metab 89(5): 2248–53, 2004.</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lastRenderedPageBreak/>
        <w:t xml:space="preserve">19. </w:t>
      </w:r>
      <w:r w:rsidRPr="00FB45BE">
        <w:rPr>
          <w:rFonts w:ascii="Book Antiqua" w:hAnsi="Book Antiqua"/>
          <w:noProof/>
          <w:sz w:val="20"/>
        </w:rPr>
        <w:tab/>
        <w:t>Friedlaender GE, Tross RB, Doganis AC, Kirkwood JM, Baron R. Effects of chemotherapeutic agents on bone. I. Short-term methotrexate and doxorubicin (adriamycin) treatment in a rat model. J Bone Joint Surg Am 66(4): 602–7, 1984.</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20. </w:t>
      </w:r>
      <w:r w:rsidRPr="00FB45BE">
        <w:rPr>
          <w:rFonts w:ascii="Book Antiqua" w:hAnsi="Book Antiqua"/>
          <w:noProof/>
          <w:sz w:val="20"/>
        </w:rPr>
        <w:tab/>
        <w:t>Gordon AM, Hurwitz S, Shapiro CL, LeBoff MS. Premature ovarian failure and body composition changes with adjuvant chemotherapy for breast cancer. Menopause 18(11): 1244–8, 2011.</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21. </w:t>
      </w:r>
      <w:r w:rsidRPr="00FB45BE">
        <w:rPr>
          <w:rFonts w:ascii="Book Antiqua" w:hAnsi="Book Antiqua"/>
          <w:noProof/>
          <w:sz w:val="20"/>
        </w:rPr>
        <w:tab/>
        <w:t>Grundy SM, Cleeman JI, Daniels SR, Donato KA, Eckel RH, Franklin BA, et al. Diagnosis and management of the metabolic syndrome: an American Heart Association/National Heart, Lung, and Blood Institute scientific statement: Executive Summary. Crit Pathw Cardiol 4(4): 198–203, 2005.</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22. </w:t>
      </w:r>
      <w:r w:rsidRPr="00FB45BE">
        <w:rPr>
          <w:rFonts w:ascii="Book Antiqua" w:hAnsi="Book Antiqua"/>
          <w:noProof/>
          <w:sz w:val="20"/>
        </w:rPr>
        <w:tab/>
        <w:t>Guinan EM, Connolly EM, Kennedy MJ, Hussey J. The presentation of metabolic dysfunction and the relationship with energy output in breast cancer survivors: a cross-sectional study. Nutr J 12(1): 99, 2013.</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23. </w:t>
      </w:r>
      <w:r w:rsidRPr="00FB45BE">
        <w:rPr>
          <w:rFonts w:ascii="Book Antiqua" w:hAnsi="Book Antiqua"/>
          <w:noProof/>
          <w:sz w:val="20"/>
        </w:rPr>
        <w:tab/>
        <w:t>Hansell DT, Davies JW, Burns HJ. The effects on resting energy expenditure of different tumor types. Cancer 58(8): 1739–44, 1986.</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24. </w:t>
      </w:r>
      <w:r w:rsidRPr="00FB45BE">
        <w:rPr>
          <w:rFonts w:ascii="Book Antiqua" w:hAnsi="Book Antiqua"/>
          <w:noProof/>
          <w:sz w:val="20"/>
        </w:rPr>
        <w:tab/>
        <w:t>Harvie MN, Campbell IT, Baildam A, Howell A. Energy balance in early breast cancer patients receiving adjuvant chemotherapy. Breast Cancer Res Treat 83(3): 201–10, 2004.</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25. </w:t>
      </w:r>
      <w:r w:rsidRPr="00FB45BE">
        <w:rPr>
          <w:rFonts w:ascii="Book Antiqua" w:hAnsi="Book Antiqua"/>
          <w:noProof/>
          <w:sz w:val="20"/>
        </w:rPr>
        <w:tab/>
        <w:t>Harvie MN, Campbell IT, Baildam A, Howell A. Energy Balance in Early Breast Cancer Patients Receiving Adjuvant Chemotherapy. Breast Cancer Res Treat 83(3): 201–10, 2004.</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26. </w:t>
      </w:r>
      <w:r w:rsidRPr="00FB45BE">
        <w:rPr>
          <w:rFonts w:ascii="Book Antiqua" w:hAnsi="Book Antiqua"/>
          <w:noProof/>
          <w:sz w:val="20"/>
        </w:rPr>
        <w:tab/>
        <w:t>Harvie MN, Howell A, Thatcher N, Baildam A, Campbell I. Energy balance in patients with advanced NSCLC, metastatic melanoma and metastatic breast cancer receiving chemotherapy--a longitudinal study. Br J Cancer 92(4): 673–80, 2005.</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27. </w:t>
      </w:r>
      <w:r w:rsidRPr="00FB45BE">
        <w:rPr>
          <w:rFonts w:ascii="Book Antiqua" w:hAnsi="Book Antiqua"/>
          <w:noProof/>
          <w:sz w:val="20"/>
        </w:rPr>
        <w:tab/>
        <w:t>Ho-Pham LT, Nguyen ND, Lai TQ, Nguyen T V. Contributions of lean mass and fat mass to bone mineral density: a study in postmenopausal women. BMC Musculoskelet Disord 11(1): 59, 2010.</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28. </w:t>
      </w:r>
      <w:r w:rsidRPr="00FB45BE">
        <w:rPr>
          <w:rFonts w:ascii="Book Antiqua" w:hAnsi="Book Antiqua"/>
          <w:noProof/>
          <w:sz w:val="20"/>
        </w:rPr>
        <w:tab/>
        <w:t>Hooshmand S, Chai SC, Saadat RL, Payton ME, Brummel-Smith K, Arjmandi BH. Comparative effects of dried plum and dried apple on bone in postmenopausal women. Br J Nutr 106(6): 923–30, 2011.</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29. </w:t>
      </w:r>
      <w:r w:rsidRPr="00FB45BE">
        <w:rPr>
          <w:rFonts w:ascii="Book Antiqua" w:hAnsi="Book Antiqua"/>
          <w:noProof/>
          <w:sz w:val="20"/>
        </w:rPr>
        <w:tab/>
        <w:t xml:space="preserve">Ilich JZ, Kelly OJ, Inglis JE. Osteosarcopenic Obesity Syndrome: What Is It and How Can It Be Identified and Diagnosed? </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30. </w:t>
      </w:r>
      <w:r w:rsidRPr="00FB45BE">
        <w:rPr>
          <w:rFonts w:ascii="Book Antiqua" w:hAnsi="Book Antiqua"/>
          <w:noProof/>
          <w:sz w:val="20"/>
        </w:rPr>
        <w:tab/>
        <w:t>Imai Y, Kondoh S, Kouzmenko A, Kato S. Minireview: osteoprotective action of estrogens is mediated by osteoclastic estrogen receptor-alpha. Mol Endocrinol 24(5): 877–85, 2010.</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31. </w:t>
      </w:r>
      <w:r w:rsidRPr="00FB45BE">
        <w:rPr>
          <w:rFonts w:ascii="Book Antiqua" w:hAnsi="Book Antiqua"/>
          <w:noProof/>
          <w:sz w:val="20"/>
        </w:rPr>
        <w:tab/>
        <w:t>Makari-Judson G, Braun B, Jerry DJ, Mertens WC. Weight gain following breast cancer diagnosis: Implication and proposed mechanisms. World J Clin Oncol 5(3): 272, 2014.</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32. </w:t>
      </w:r>
      <w:r w:rsidRPr="00FB45BE">
        <w:rPr>
          <w:rFonts w:ascii="Book Antiqua" w:hAnsi="Book Antiqua"/>
          <w:noProof/>
          <w:sz w:val="20"/>
        </w:rPr>
        <w:tab/>
        <w:t>Michaud LB, Goodin S. Cancer-treatment-induced bone loss, part 1. Am J Heal Pharm 63(5): 419–30, 2006.</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33. </w:t>
      </w:r>
      <w:r w:rsidRPr="00FB45BE">
        <w:rPr>
          <w:rFonts w:ascii="Book Antiqua" w:hAnsi="Book Antiqua"/>
          <w:noProof/>
          <w:sz w:val="20"/>
        </w:rPr>
        <w:tab/>
        <w:t>Navalta, James W.; Stone, Whitley J.; and Lyons S. Ethical Issues Relating to Scientific Discovery in Exercise Science. Int J Exerc Sci 12(1), 2019.</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34. </w:t>
      </w:r>
      <w:r w:rsidRPr="00FB45BE">
        <w:rPr>
          <w:rFonts w:ascii="Book Antiqua" w:hAnsi="Book Antiqua"/>
          <w:noProof/>
          <w:sz w:val="20"/>
        </w:rPr>
        <w:tab/>
        <w:t>Nguyen TYV, Batterham MJ, Edwards C. Comparison of Resting Energy Expenditure Between Cancer Subjects and Healthy Controls: A Meta-Analysis. Nutr Cancer 68(3): 374–87, 2016.</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35. </w:t>
      </w:r>
      <w:r w:rsidRPr="00FB45BE">
        <w:rPr>
          <w:rFonts w:ascii="Book Antiqua" w:hAnsi="Book Antiqua"/>
          <w:noProof/>
          <w:sz w:val="20"/>
        </w:rPr>
        <w:tab/>
        <w:t>Osborne C, Tripathy D. Aromatase Inhibitors: Rationale and Use in Breast Cancer. Annu Rev Med 56(1): 103–16, 2005.</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36. </w:t>
      </w:r>
      <w:r w:rsidRPr="00FB45BE">
        <w:rPr>
          <w:rFonts w:ascii="Book Antiqua" w:hAnsi="Book Antiqua"/>
          <w:noProof/>
          <w:sz w:val="20"/>
        </w:rPr>
        <w:tab/>
        <w:t>Pfeilschifter J, Diel IJ. Osteoporosis due to cancer treatment: pathogenesis and management. J Clin Oncol 18(7): 1570–93, 2000.</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37. </w:t>
      </w:r>
      <w:r w:rsidRPr="00FB45BE">
        <w:rPr>
          <w:rFonts w:ascii="Book Antiqua" w:hAnsi="Book Antiqua"/>
          <w:noProof/>
          <w:sz w:val="20"/>
        </w:rPr>
        <w:tab/>
        <w:t>Van Poznak C, Sauter NP. Clinical management of osteoporosis in women with a history of breast carcinoma. Cancer 104(3): 443–56, 2005.</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38. </w:t>
      </w:r>
      <w:r w:rsidRPr="00FB45BE">
        <w:rPr>
          <w:rFonts w:ascii="Book Antiqua" w:hAnsi="Book Antiqua"/>
          <w:noProof/>
          <w:sz w:val="20"/>
        </w:rPr>
        <w:tab/>
        <w:t>Prado CM, Antoun S, Sawyer MB, Baracos VE. Two faces of drug therapy in cancer: drug-related lean tissue loss and its adverse consequences to survival and toxicity. Curr Opin Clin Nutr Metab Care 14(3): 250–4, 2011.</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39. </w:t>
      </w:r>
      <w:r w:rsidRPr="00FB45BE">
        <w:rPr>
          <w:rFonts w:ascii="Book Antiqua" w:hAnsi="Book Antiqua"/>
          <w:noProof/>
          <w:sz w:val="20"/>
        </w:rPr>
        <w:tab/>
        <w:t>Prado CM, Baracos VE, McCargar LJ, Reiman T, Mourtzakis M, Tonkin K, et al. Sarcopenia as a determinant of chemotherapy toxicity and time to tumor progression in metastatic breast cancer patients receiving capecitabine treatment. Clin Cancer Res 15(8): 2920–6, 2009.</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40. </w:t>
      </w:r>
      <w:r w:rsidRPr="00FB45BE">
        <w:rPr>
          <w:rFonts w:ascii="Book Antiqua" w:hAnsi="Book Antiqua"/>
          <w:noProof/>
          <w:sz w:val="20"/>
        </w:rPr>
        <w:tab/>
        <w:t>Prado CM, Wells JC, Smith SR, Stephan BC, Siervo M. Sarcopenic obesity: A Critical appraisal of the current evidence. Clin Nutr 31(5): 583–601, 2012.</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41. </w:t>
      </w:r>
      <w:r w:rsidRPr="00FB45BE">
        <w:rPr>
          <w:rFonts w:ascii="Book Antiqua" w:hAnsi="Book Antiqua"/>
          <w:noProof/>
          <w:sz w:val="20"/>
        </w:rPr>
        <w:tab/>
        <w:t>Purcell SA, Elliott SA, Baracos VE, Chu QSC, Prado CM. Key determinants of energy expenditure in cancer and implications for clinical practice. Eur J Clin Nutr 70(11): 1230–8, 2016.</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42. </w:t>
      </w:r>
      <w:r w:rsidRPr="00FB45BE">
        <w:rPr>
          <w:rFonts w:ascii="Book Antiqua" w:hAnsi="Book Antiqua"/>
          <w:noProof/>
          <w:sz w:val="20"/>
        </w:rPr>
        <w:tab/>
        <w:t>Sheean PM, Hoskins K, Stolley M. Body composition changes in females treated for breast cancer: a review of the evidence. Breast Cancer Res Treat 135(3): 663–80, 2012.</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lastRenderedPageBreak/>
        <w:t xml:space="preserve">43. </w:t>
      </w:r>
      <w:r w:rsidRPr="00FB45BE">
        <w:rPr>
          <w:rFonts w:ascii="Book Antiqua" w:hAnsi="Book Antiqua"/>
          <w:noProof/>
          <w:sz w:val="20"/>
        </w:rPr>
        <w:tab/>
        <w:t>Siegel RL, Miller KD, Jemal A. Cancer statistics, 2019. CA Cancer J Clin 69(1): 7–34, 2019.</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44. </w:t>
      </w:r>
      <w:r w:rsidRPr="00FB45BE">
        <w:rPr>
          <w:rFonts w:ascii="Book Antiqua" w:hAnsi="Book Antiqua"/>
          <w:noProof/>
          <w:sz w:val="20"/>
        </w:rPr>
        <w:tab/>
        <w:t>Simonavice, E.; Liu, P.-Y.; Ilich, J.K.; Kim, J.-S.; Panton L. Body composition, muscular strength, and physical function in breast cancer survivors. Int J Body Compos Res 9(2): 57–64, 2011.</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45. </w:t>
      </w:r>
      <w:r w:rsidRPr="00FB45BE">
        <w:rPr>
          <w:rFonts w:ascii="Book Antiqua" w:hAnsi="Book Antiqua"/>
          <w:noProof/>
          <w:sz w:val="20"/>
        </w:rPr>
        <w:tab/>
        <w:t>Simonavice E, Liu PY, Ilich JZ, Kim JS, Arjmandi B, Panton LB. The effects of a 6-month resistance training and dried plum consumption intervention on strength, body composition, blood markers of bone turnover, and inflammation in breast cancer survivors. Appl Physiol Nutr Metab 39(6): 730–9, 2014.</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46. </w:t>
      </w:r>
      <w:r w:rsidRPr="00FB45BE">
        <w:rPr>
          <w:rFonts w:ascii="Book Antiqua" w:hAnsi="Book Antiqua"/>
          <w:noProof/>
          <w:sz w:val="20"/>
        </w:rPr>
        <w:tab/>
        <w:t>Siris ES, Miller PD, Barrett-Connor E, Faulkner KG, Wehren LE, Abbott TA, et al. Identification and fracture outcomes of undiagnosed low bone mineral density in postmenopausal women: results from the National Osteoporosis Risk Assessment. JAMA 286(22): 2815–22, 2001.</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47. </w:t>
      </w:r>
      <w:r w:rsidRPr="00FB45BE">
        <w:rPr>
          <w:rFonts w:ascii="Book Antiqua" w:hAnsi="Book Antiqua"/>
          <w:noProof/>
          <w:sz w:val="20"/>
        </w:rPr>
        <w:tab/>
        <w:t>Twiss JJ, Gross GJ, Waltman NL, Ott CD, Lindsey AM. Health behaviors in breast cancer survivors experiencing bone loss. J Am Acad Nurse Pract 18(10): 471–81, 2006.</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48. </w:t>
      </w:r>
      <w:r w:rsidRPr="00FB45BE">
        <w:rPr>
          <w:rFonts w:ascii="Book Antiqua" w:hAnsi="Book Antiqua"/>
          <w:noProof/>
          <w:sz w:val="20"/>
        </w:rPr>
        <w:tab/>
        <w:t>Twiss JJ, Waltman N, Ott CD, Gross GJ, Lindsey AM, Moore TE. Bone mineral density in postmenopausal breast cancer survivors. J Am Acad Nurse Pract 13(6): 276–84, 2001.</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49. </w:t>
      </w:r>
      <w:r w:rsidRPr="00FB45BE">
        <w:rPr>
          <w:rFonts w:ascii="Book Antiqua" w:hAnsi="Book Antiqua"/>
          <w:noProof/>
          <w:sz w:val="20"/>
        </w:rPr>
        <w:tab/>
        <w:t>Villaseñor A, Ballard-Barbash R, Baumgartner K, Baumgartner R, Bernstein L, McTiernan A, et al. Prevalence and prognostic effect of sarcopenia in breast cancer survivors: the HEAL Study. J Cancer Surviv 6(4): 398–406, 2012.</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50. </w:t>
      </w:r>
      <w:r w:rsidRPr="00FB45BE">
        <w:rPr>
          <w:rFonts w:ascii="Book Antiqua" w:hAnsi="Book Antiqua"/>
          <w:noProof/>
          <w:sz w:val="20"/>
        </w:rPr>
        <w:tab/>
        <w:t>Vincent KR, Braith RW. Resistance exercise and bone turnover in elderly men and women. Med Sci Sports Exerc 34(1): 17–23, 2002.</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51. </w:t>
      </w:r>
      <w:r w:rsidRPr="00FB45BE">
        <w:rPr>
          <w:rFonts w:ascii="Book Antiqua" w:hAnsi="Book Antiqua"/>
          <w:noProof/>
          <w:sz w:val="20"/>
        </w:rPr>
        <w:tab/>
        <w:t>Waltman NL, Ott CD, Twiss JJ, Gross GJ, Lindsey AM, Moore TE. Bone mineral density and bone turnover in postmenopausal women treated for breast cancer. Cancer Nurs 31(3): 182–90, 2008.</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52. </w:t>
      </w:r>
      <w:r w:rsidRPr="00FB45BE">
        <w:rPr>
          <w:rFonts w:ascii="Book Antiqua" w:hAnsi="Book Antiqua"/>
          <w:noProof/>
          <w:sz w:val="20"/>
        </w:rPr>
        <w:tab/>
        <w:t>Winters-Stone KM, Laudermilk M, Woo K, Brown JC, Schmitz KH. Influence of weight training on skeletal health of breast cancer survivors with or at risk for breast cancer-related lymphedema. J Cancer Surviv 8(2): 260–8, 2014.</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53. </w:t>
      </w:r>
      <w:r w:rsidRPr="00FB45BE">
        <w:rPr>
          <w:rFonts w:ascii="Book Antiqua" w:hAnsi="Book Antiqua"/>
          <w:noProof/>
          <w:sz w:val="20"/>
        </w:rPr>
        <w:tab/>
        <w:t>Winters-Stone KM, Nail L, Bennett JA, Schwartz A. Bone Health and Falls: Fracture Risk in Breast Cancer Survivors With Chemotherapy-Induced Amenorrhea. Oncol Nurs Forum 36(3): 315–25, 2009.</w:t>
      </w:r>
    </w:p>
    <w:p w:rsidR="001C6FA6" w:rsidRPr="00FB45BE" w:rsidRDefault="001C6FA6" w:rsidP="001C6FA6">
      <w:pPr>
        <w:widowControl w:val="0"/>
        <w:autoSpaceDE w:val="0"/>
        <w:autoSpaceDN w:val="0"/>
        <w:adjustRightInd w:val="0"/>
        <w:ind w:left="640" w:hanging="640"/>
        <w:rPr>
          <w:rFonts w:ascii="Book Antiqua" w:hAnsi="Book Antiqua"/>
          <w:noProof/>
          <w:sz w:val="20"/>
        </w:rPr>
      </w:pPr>
      <w:r w:rsidRPr="00FB45BE">
        <w:rPr>
          <w:rFonts w:ascii="Book Antiqua" w:hAnsi="Book Antiqua"/>
          <w:noProof/>
          <w:sz w:val="20"/>
        </w:rPr>
        <w:t xml:space="preserve">54. </w:t>
      </w:r>
      <w:r w:rsidRPr="00FB45BE">
        <w:rPr>
          <w:rFonts w:ascii="Book Antiqua" w:hAnsi="Book Antiqua"/>
          <w:noProof/>
          <w:sz w:val="20"/>
        </w:rPr>
        <w:tab/>
        <w:t>Zhai G, Hart DJ, Valdes AM, Kato BS, Richards JB, Hakim A, et al. Natural history and risk factors for bone loss in postmenopausal Caucasian women: a 15-year follow-up population-based study. Osteoporos Int 19(8): 1211–7, 2008.</w:t>
      </w:r>
    </w:p>
    <w:p w:rsidR="001C6FA6" w:rsidRPr="005B72D7" w:rsidRDefault="001C6FA6" w:rsidP="005B72D7">
      <w:pPr>
        <w:jc w:val="both"/>
        <w:rPr>
          <w:rFonts w:ascii="Book Antiqua" w:hAnsi="Book Antiqua"/>
        </w:rPr>
      </w:pPr>
    </w:p>
    <w:sectPr w:rsidR="001C6FA6" w:rsidRPr="005B72D7" w:rsidSect="00330561">
      <w:headerReference w:type="default" r:id="rId12"/>
      <w:footerReference w:type="even" r:id="rId13"/>
      <w:footerReference w:type="default" r:id="rId14"/>
      <w:type w:val="continuous"/>
      <w:pgSz w:w="12240" w:h="15840" w:code="1"/>
      <w:pgMar w:top="1440" w:right="1080" w:bottom="1440" w:left="1080" w:header="720" w:footer="97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1BE6" w:rsidRDefault="00601BE6" w:rsidP="00BC5097">
      <w:r>
        <w:separator/>
      </w:r>
    </w:p>
  </w:endnote>
  <w:endnote w:type="continuationSeparator" w:id="0">
    <w:p w:rsidR="00601BE6" w:rsidRDefault="00601BE6" w:rsidP="00BC5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ヒラギノ角ゴ Pro W3">
    <w:charset w:val="80"/>
    <w:family w:val="swiss"/>
    <w:pitch w:val="variable"/>
    <w:sig w:usb0="E00002FF" w:usb1="7AC7FFFF" w:usb2="00000012" w:usb3="00000000" w:csb0="0002000D" w:csb1="00000000"/>
  </w:font>
  <w:font w:name="Book Antiqua">
    <w:panose1 w:val="02040602050305030304"/>
    <w:charset w:val="00"/>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BookAntiqua">
    <w:altName w:val="Cambria"/>
    <w:panose1 w:val="00000000000000000000"/>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Garamond-Light">
    <w:panose1 w:val="00000000000000000000"/>
    <w:charset w:val="00"/>
    <w:family w:val="roman"/>
    <w:notTrueType/>
    <w:pitch w:val="default"/>
    <w:sig w:usb0="00000003" w:usb1="00000000" w:usb2="00000000" w:usb3="00000000" w:csb0="00000001" w:csb1="00000000"/>
  </w:font>
  <w:font w:name="AdvTTb5929f4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77" w:rsidRDefault="003B4F77" w:rsidP="00CE48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4F77" w:rsidRDefault="003B4F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77" w:rsidRPr="00E76FC0" w:rsidRDefault="003B4F77" w:rsidP="00BC5097">
    <w:pPr>
      <w:pStyle w:val="Footer"/>
      <w:ind w:left="-360" w:right="-360"/>
      <w:rPr>
        <w:rFonts w:ascii="Book Antiqua" w:hAnsi="Book Antiqua"/>
      </w:rPr>
    </w:pPr>
    <w:r>
      <w:rPr>
        <w:rFonts w:ascii="Book Antiqua" w:hAnsi="Book Antiqua"/>
        <w:noProof/>
      </w:rPr>
      <mc:AlternateContent>
        <mc:Choice Requires="wps">
          <w:drawing>
            <wp:anchor distT="0" distB="0" distL="114300" distR="114300" simplePos="0" relativeHeight="251657216" behindDoc="0" locked="0" layoutInCell="1" allowOverlap="1" wp14:anchorId="539E439D">
              <wp:simplePos x="0" y="0"/>
              <wp:positionH relativeFrom="page">
                <wp:posOffset>3543300</wp:posOffset>
              </wp:positionH>
              <wp:positionV relativeFrom="page">
                <wp:posOffset>9372600</wp:posOffset>
              </wp:positionV>
              <wp:extent cx="610235" cy="238760"/>
              <wp:effectExtent l="12700" t="12700" r="0" b="254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235" cy="238760"/>
                      </a:xfrm>
                      <a:prstGeom prst="bracketPair">
                        <a:avLst>
                          <a:gd name="adj" fmla="val 16667"/>
                        </a:avLst>
                      </a:prstGeom>
                      <a:solidFill>
                        <a:srgbClr val="FFFFFF"/>
                      </a:solidFill>
                      <a:ln w="28575">
                        <a:solidFill>
                          <a:srgbClr val="808080"/>
                        </a:solidFill>
                        <a:round/>
                        <a:headEnd/>
                        <a:tailEnd/>
                      </a:ln>
                    </wps:spPr>
                    <wps:txbx>
                      <w:txbxContent>
                        <w:p w:rsidR="003B4F77" w:rsidRPr="00E76FC0" w:rsidRDefault="003B4F77">
                          <w:pPr>
                            <w:jc w:val="center"/>
                            <w:rPr>
                              <w:rFonts w:ascii="Book Antiqua" w:hAnsi="Book Antiqua"/>
                            </w:rPr>
                          </w:pPr>
                          <w:r>
                            <w:fldChar w:fldCharType="begin"/>
                          </w:r>
                          <w:r>
                            <w:instrText xml:space="preserve"> PAGE    \* MERGEFORMAT </w:instrText>
                          </w:r>
                          <w:r>
                            <w:fldChar w:fldCharType="separate"/>
                          </w:r>
                          <w:r w:rsidRPr="00F04C61">
                            <w:rPr>
                              <w:rFonts w:ascii="Book Antiqua" w:hAnsi="Book Antiqua"/>
                              <w:noProof/>
                            </w:rPr>
                            <w:t>3</w:t>
                          </w:r>
                          <w:r>
                            <w:rPr>
                              <w:rFonts w:ascii="Book Antiqua" w:hAnsi="Book Antiqua"/>
                              <w:noProof/>
                            </w:rPr>
                            <w:fldChar w:fldCharType="end"/>
                          </w:r>
                        </w:p>
                      </w:txbxContent>
                    </wps:txbx>
                    <wps:bodyPr rot="0" vert="horz" wrap="square" lIns="91440" tIns="0" rIns="91440" bIns="0" anchor="t" anchorCtr="0" upright="1">
                      <a:noAutofit/>
                    </wps:bodyPr>
                  </wps:wsp>
                </a:graphicData>
              </a:graphic>
              <wp14:sizeRelH relativeFrom="margin">
                <wp14:pctWidth>0</wp14:pctWidth>
              </wp14:sizeRelH>
              <wp14:sizeRelV relativeFrom="bottomMargin">
                <wp14:pctHeight>0</wp14:pctHeight>
              </wp14:sizeRelV>
            </wp:anchor>
          </w:drawing>
        </mc:Choice>
        <mc:Fallback>
          <w:pict>
            <v:shapetype w14:anchorId="539E439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left:0;text-align:left;margin-left:279pt;margin-top:738pt;width:48.05pt;height:18.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" filled="t" strokecolor="gray" strokeweight="2.25pt">
              <v:path arrowok="t"/>
              <v:textbox inset=",0,,0">
                <w:txbxContent>
                  <w:p w:rsidR="003B4F77" w:rsidRPr="00E76FC0" w:rsidRDefault="003B4F77">
                    <w:pPr>
                      <w:jc w:val="center"/>
                      <w:rPr>
                        <w:rFonts w:ascii="Book Antiqua" w:hAnsi="Book Antiqua"/>
                      </w:rPr>
                    </w:pPr>
                    <w:r>
                      <w:fldChar w:fldCharType="begin"/>
                    </w:r>
                    <w:r>
                      <w:instrText xml:space="preserve"> PAGE    \* MERGEFORMAT </w:instrText>
                    </w:r>
                    <w:r>
                      <w:fldChar w:fldCharType="separate"/>
                    </w:r>
                    <w:r w:rsidRPr="00F04C61">
                      <w:rPr>
                        <w:rFonts w:ascii="Book Antiqua" w:hAnsi="Book Antiqua"/>
                        <w:noProof/>
                      </w:rPr>
                      <w:t>3</w:t>
                    </w:r>
                    <w:r>
                      <w:rPr>
                        <w:rFonts w:ascii="Book Antiqua" w:hAnsi="Book Antiqua"/>
                        <w:noProof/>
                      </w:rPr>
                      <w:fldChar w:fldCharType="end"/>
                    </w:r>
                  </w:p>
                </w:txbxContent>
              </v:textbox>
              <w10:wrap anchorx="page" anchory="page"/>
            </v:shape>
          </w:pict>
        </mc:Fallback>
      </mc:AlternateContent>
    </w:r>
    <w:r>
      <w:rPr>
        <w:rFonts w:ascii="Book Antiqua" w:hAnsi="Book Antiqua"/>
        <w:noProof/>
      </w:rPr>
      <mc:AlternateContent>
        <mc:Choice Requires="wps">
          <w:drawing>
            <wp:anchor distT="4294967294" distB="4294967294" distL="114300" distR="114300" simplePos="0" relativeHeight="251656192" behindDoc="0" locked="0" layoutInCell="1" allowOverlap="1" wp14:anchorId="7994D2C5">
              <wp:simplePos x="0" y="0"/>
              <wp:positionH relativeFrom="page">
                <wp:posOffset>1143000</wp:posOffset>
              </wp:positionH>
              <wp:positionV relativeFrom="page">
                <wp:posOffset>9486899</wp:posOffset>
              </wp:positionV>
              <wp:extent cx="5518150" cy="0"/>
              <wp:effectExtent l="0" t="0" r="0" b="0"/>
              <wp:wrapNone/>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 uri="{53640926-AAD7-44d8-BBD7-CCE9431645EC}">
                          <a14:shadowObscured xmlns="" xmlns:a14="http://schemas.microsoft.com/office/drawing/2010/main" xmlns:w="http://schemas.openxmlformats.org/wordprocessingml/2006/main" xmlns:w10="urn:schemas-microsoft-com:office:word" xmlns:v="urn:schemas-microsoft-com:vml" xmlns:o="urn:schemas-microsoft-com:office:office"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154B4884" id="_x0000_t32" coordsize="21600,21600" o:spt="32" o:oned="t" path="m,l21600,21600e" filled="f">
              <v:path arrowok="t" fillok="f" o:connecttype="none"/>
              <o:lock v:ext="edit" shapetype="t"/>
            </v:shapetype>
            <v:shape id="AutoShape 21" o:spid="_x0000_s1026" type="#_x0000_t32" style="position:absolute;margin-left:90pt;margin-top:747pt;width:434.5pt;height:0;z-index:251656192;visibility:visible;mso-wrap-style:square;mso-width-percent:0;mso-height-percent:0;mso-wrap-distance-left:9pt;mso-wrap-distance-top:.mm;mso-wrap-distance-right:9pt;mso-wrap-distance-bottom:.mm;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" strokecolor="gray" strokeweight="1pt">
              <o:lock v:ext="edit" shapetype="f"/>
              <w10:wrap anchorx="page" anchory="page"/>
            </v:shape>
          </w:pict>
        </mc:Fallback>
      </mc:AlternateContent>
    </w:r>
    <w:r w:rsidRPr="00E76FC0">
      <w:rPr>
        <w:rFonts w:ascii="Book Antiqua" w:hAnsi="Book Antiqua"/>
      </w:rPr>
      <w:t>International Journal of Exercise Science</w:t>
    </w:r>
    <w:r>
      <w:rPr>
        <w:rFonts w:ascii="Book Antiqua" w:hAnsi="Book Antiqua"/>
      </w:rPr>
      <w:t xml:space="preserve">                                                          </w:t>
    </w:r>
    <w:r w:rsidRPr="00E76FC0">
      <w:rPr>
        <w:rFonts w:ascii="Book Antiqua" w:hAnsi="Book Antiqua"/>
      </w:rPr>
      <w:t>http://www.intjexersci.com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77" w:rsidRDefault="003B4F77" w:rsidP="00CE48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4F77" w:rsidRDefault="003B4F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77" w:rsidRPr="0017715E" w:rsidRDefault="003B4F77" w:rsidP="00BC5097">
    <w:pPr>
      <w:pStyle w:val="Footer"/>
      <w:ind w:left="-360" w:right="-360"/>
      <w:rPr>
        <w:rFonts w:ascii="Book Antiqua" w:hAnsi="Book Antiqua"/>
        <w:color w:val="943634" w:themeColor="accent2" w:themeShade="BF"/>
      </w:rPr>
    </w:pPr>
    <w:r>
      <w:rPr>
        <w:rFonts w:ascii="Book Antiqua" w:hAnsi="Book Antiqua"/>
        <w:noProof/>
        <w:color w:val="943634" w:themeColor="accent2" w:themeShade="BF"/>
      </w:rPr>
      <mc:AlternateContent>
        <mc:Choice Requires="wps">
          <w:drawing>
            <wp:anchor distT="0" distB="0" distL="114300" distR="114300" simplePos="0" relativeHeight="251658240" behindDoc="0" locked="0" layoutInCell="1" allowOverlap="1" wp14:anchorId="5D66CF9E">
              <wp:simplePos x="0" y="0"/>
              <wp:positionH relativeFrom="page">
                <wp:posOffset>3543300</wp:posOffset>
              </wp:positionH>
              <wp:positionV relativeFrom="page">
                <wp:posOffset>9372600</wp:posOffset>
              </wp:positionV>
              <wp:extent cx="610235" cy="238760"/>
              <wp:effectExtent l="12700" t="12700" r="0" b="254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235" cy="238760"/>
                      </a:xfrm>
                      <a:prstGeom prst="bracketPair">
                        <a:avLst>
                          <a:gd name="adj" fmla="val 16667"/>
                        </a:avLst>
                      </a:prstGeom>
                      <a:solidFill>
                        <a:srgbClr val="FFFFFF"/>
                      </a:solidFill>
                      <a:ln w="28575">
                        <a:solidFill>
                          <a:schemeClr val="accent1">
                            <a:lumMod val="75000"/>
                            <a:lumOff val="0"/>
                          </a:schemeClr>
                        </a:solidFill>
                        <a:round/>
                        <a:headEnd/>
                        <a:tailEnd/>
                      </a:ln>
                    </wps:spPr>
                    <wps:txbx>
                      <w:txbxContent>
                        <w:p w:rsidR="003B4F77" w:rsidRPr="0017715E" w:rsidRDefault="003B4F77">
                          <w:pPr>
                            <w:jc w:val="center"/>
                            <w:rPr>
                              <w:rFonts w:ascii="Book Antiqua" w:hAnsi="Book Antiqua"/>
                              <w:color w:val="244061" w:themeColor="accent1" w:themeShade="80"/>
                            </w:rPr>
                          </w:pPr>
                          <w:r w:rsidRPr="0017715E">
                            <w:rPr>
                              <w:color w:val="244061" w:themeColor="accent1" w:themeShade="80"/>
                            </w:rPr>
                            <w:fldChar w:fldCharType="begin"/>
                          </w:r>
                          <w:r w:rsidRPr="0017715E">
                            <w:rPr>
                              <w:color w:val="244061" w:themeColor="accent1" w:themeShade="80"/>
                            </w:rPr>
                            <w:instrText xml:space="preserve"> PAGE    \* MERGEFORMAT </w:instrText>
                          </w:r>
                          <w:r w:rsidRPr="0017715E">
                            <w:rPr>
                              <w:color w:val="244061" w:themeColor="accent1" w:themeShade="80"/>
                            </w:rPr>
                            <w:fldChar w:fldCharType="separate"/>
                          </w:r>
                          <w:r w:rsidRPr="00E13ACF">
                            <w:rPr>
                              <w:rFonts w:ascii="Book Antiqua" w:hAnsi="Book Antiqua"/>
                              <w:noProof/>
                              <w:color w:val="244061" w:themeColor="accent1" w:themeShade="80"/>
                            </w:rPr>
                            <w:t>2</w:t>
                          </w:r>
                          <w:r w:rsidRPr="0017715E">
                            <w:rPr>
                              <w:rFonts w:ascii="Book Antiqua" w:hAnsi="Book Antiqua"/>
                              <w:noProof/>
                              <w:color w:val="244061" w:themeColor="accent1" w:themeShade="80"/>
                            </w:rPr>
                            <w:fldChar w:fldCharType="end"/>
                          </w:r>
                        </w:p>
                      </w:txbxContent>
                    </wps:txbx>
                    <wps:bodyPr rot="0" vert="horz" wrap="square" lIns="91440" tIns="0" rIns="91440" bIns="0" anchor="t" anchorCtr="0" upright="1">
                      <a:noAutofit/>
                    </wps:bodyPr>
                  </wps:wsp>
                </a:graphicData>
              </a:graphic>
              <wp14:sizeRelH relativeFrom="margin">
                <wp14:pctWidth>0</wp14:pctWidth>
              </wp14:sizeRelH>
              <wp14:sizeRelV relativeFrom="bottomMargin">
                <wp14:pctHeight>0</wp14:pctHeight>
              </wp14:sizeRelV>
            </wp:anchor>
          </w:drawing>
        </mc:Choice>
        <mc:Fallback>
          <w:pict>
            <v:shapetype w14:anchorId="5D66CF9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7" type="#_x0000_t185" style="position:absolute;left:0;text-align:left;margin-left:279pt;margin-top:738pt;width:48.05pt;height:18.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" filled="t" strokecolor="#365f91 [2404]" strokeweight="2.25pt">
              <v:path arrowok="t"/>
              <v:textbox inset=",0,,0">
                <w:txbxContent>
                  <w:p w:rsidR="003B4F77" w:rsidRPr="0017715E" w:rsidRDefault="003B4F77">
                    <w:pPr>
                      <w:jc w:val="center"/>
                      <w:rPr>
                        <w:rFonts w:ascii="Book Antiqua" w:hAnsi="Book Antiqua"/>
                        <w:color w:val="244061" w:themeColor="accent1" w:themeShade="80"/>
                      </w:rPr>
                    </w:pPr>
                    <w:r w:rsidRPr="0017715E">
                      <w:rPr>
                        <w:color w:val="244061" w:themeColor="accent1" w:themeShade="80"/>
                      </w:rPr>
                      <w:fldChar w:fldCharType="begin"/>
                    </w:r>
                    <w:r w:rsidRPr="0017715E">
                      <w:rPr>
                        <w:color w:val="244061" w:themeColor="accent1" w:themeShade="80"/>
                      </w:rPr>
                      <w:instrText xml:space="preserve"> PAGE    \* MERGEFORMAT </w:instrText>
                    </w:r>
                    <w:r w:rsidRPr="0017715E">
                      <w:rPr>
                        <w:color w:val="244061" w:themeColor="accent1" w:themeShade="80"/>
                      </w:rPr>
                      <w:fldChar w:fldCharType="separate"/>
                    </w:r>
                    <w:r w:rsidRPr="00E13ACF">
                      <w:rPr>
                        <w:rFonts w:ascii="Book Antiqua" w:hAnsi="Book Antiqua"/>
                        <w:noProof/>
                        <w:color w:val="244061" w:themeColor="accent1" w:themeShade="80"/>
                      </w:rPr>
                      <w:t>2</w:t>
                    </w:r>
                    <w:r w:rsidRPr="0017715E">
                      <w:rPr>
                        <w:rFonts w:ascii="Book Antiqua" w:hAnsi="Book Antiqua"/>
                        <w:noProof/>
                        <w:color w:val="244061" w:themeColor="accent1" w:themeShade="80"/>
                      </w:rPr>
                      <w:fldChar w:fldCharType="end"/>
                    </w:r>
                  </w:p>
                </w:txbxContent>
              </v:textbox>
              <w10:wrap anchorx="page" anchory="page"/>
            </v:shape>
          </w:pict>
        </mc:Fallback>
      </mc:AlternateContent>
    </w:r>
    <w:r>
      <w:rPr>
        <w:rFonts w:ascii="Book Antiqua" w:hAnsi="Book Antiqua"/>
        <w:noProof/>
        <w:color w:val="943634" w:themeColor="accent2" w:themeShade="BF"/>
      </w:rPr>
      <mc:AlternateContent>
        <mc:Choice Requires="wps">
          <w:drawing>
            <wp:anchor distT="4294967294" distB="4294967294" distL="114300" distR="114300" simplePos="0" relativeHeight="251659264" behindDoc="1" locked="0" layoutInCell="1" allowOverlap="1" wp14:anchorId="4C37CA92">
              <wp:simplePos x="0" y="0"/>
              <wp:positionH relativeFrom="page">
                <wp:posOffset>1143000</wp:posOffset>
              </wp:positionH>
              <wp:positionV relativeFrom="page">
                <wp:posOffset>9486899</wp:posOffset>
              </wp:positionV>
              <wp:extent cx="5518150" cy="0"/>
              <wp:effectExtent l="0" t="0" r="0" b="0"/>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 uri="{53640926-AAD7-44d8-BBD7-CCE9431645EC}">
                          <a14:shadowObscured xmlns="" xmlns:a14="http://schemas.microsoft.com/office/drawing/2010/main" xmlns:w="http://schemas.openxmlformats.org/wordprocessingml/2006/main" xmlns:w10="urn:schemas-microsoft-com:office:word" xmlns:v="urn:schemas-microsoft-com:vml" xmlns:o="urn:schemas-microsoft-com:office:office"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247D6F42" id="_x0000_t32" coordsize="21600,21600" o:spt="32" o:oned="t" path="m,l21600,21600e" filled="f">
              <v:path arrowok="t" fillok="f" o:connecttype="none"/>
              <o:lock v:ext="edit" shapetype="t"/>
            </v:shapetype>
            <v:shape id="AutoShape 21" o:spid="_x0000_s1026" type="#_x0000_t32" style="position:absolute;margin-left:90pt;margin-top:747pt;width:434.5pt;height:0;z-index:-251657216;visibility:visible;mso-wrap-style:square;mso-width-percent:0;mso-height-percent:0;mso-wrap-distance-left:9pt;mso-wrap-distance-top:.mm;mso-wrap-distance-right:9pt;mso-wrap-distance-bottom:.mm;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" strokecolor="gray" strokeweight="1pt">
              <o:lock v:ext="edit" shapetype="f"/>
              <w10:wrap anchorx="page" anchory="page"/>
            </v:shape>
          </w:pict>
        </mc:Fallback>
      </mc:AlternateContent>
    </w:r>
    <w:r w:rsidRPr="0017715E">
      <w:rPr>
        <w:rFonts w:ascii="Book Antiqua" w:hAnsi="Book Antiqua"/>
        <w:color w:val="943634" w:themeColor="accent2" w:themeShade="BF"/>
      </w:rPr>
      <w:t>International Journal of Exercise Science                                                          http://www.intjexersci.com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1BE6" w:rsidRDefault="00601BE6" w:rsidP="00BC5097">
      <w:r>
        <w:separator/>
      </w:r>
    </w:p>
  </w:footnote>
  <w:footnote w:type="continuationSeparator" w:id="0">
    <w:p w:rsidR="00601BE6" w:rsidRDefault="00601BE6" w:rsidP="00BC5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77" w:rsidRPr="00A45BA6" w:rsidRDefault="003B4F77" w:rsidP="00BC5097">
    <w:pPr>
      <w:pStyle w:val="Header"/>
      <w:ind w:left="-360"/>
      <w:rPr>
        <w:rFonts w:ascii="Book Antiqua" w:hAnsi="Book Antiqua"/>
      </w:rPr>
    </w:pPr>
    <w:r>
      <w:rPr>
        <w:rFonts w:ascii="Book Antiqua" w:hAnsi="Book Antiqua"/>
      </w:rPr>
      <w:t>EFFECT OF EXERCISE ON BLOOD PRESSURE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77" w:rsidRPr="00B108D7" w:rsidRDefault="003B4F77" w:rsidP="00B108D7">
    <w:pPr>
      <w:pStyle w:val="Header"/>
      <w:ind w:left="-360"/>
      <w:jc w:val="right"/>
      <w:rPr>
        <w:rFonts w:ascii="Book Antiqua" w:hAnsi="Book Antiqua"/>
        <w:i/>
      </w:rPr>
    </w:pPr>
    <w:r w:rsidRPr="00B108D7">
      <w:rPr>
        <w:rFonts w:ascii="Book Antiqua" w:hAnsi="Book Antiqua"/>
        <w:i/>
      </w:rPr>
      <w:t xml:space="preserve">Int J Exerc Sci </w:t>
    </w:r>
    <w:r>
      <w:rPr>
        <w:rFonts w:ascii="Book Antiqua" w:hAnsi="Book Antiqua"/>
        <w:i/>
      </w:rPr>
      <w:t>V</w:t>
    </w:r>
    <w:r w:rsidRPr="00B108D7">
      <w:rPr>
        <w:rFonts w:ascii="Book Antiqua" w:hAnsi="Book Antiqua"/>
        <w:i/>
      </w:rPr>
      <w:t>(</w:t>
    </w:r>
    <w:r>
      <w:rPr>
        <w:rFonts w:ascii="Book Antiqua" w:hAnsi="Book Antiqua"/>
        <w:i/>
      </w:rPr>
      <w:t>i</w:t>
    </w:r>
    <w:r w:rsidRPr="00B108D7">
      <w:rPr>
        <w:rFonts w:ascii="Book Antiqua" w:hAnsi="Book Antiqua"/>
        <w:i/>
      </w:rPr>
      <w:t xml:space="preserve">): </w:t>
    </w:r>
    <w:r>
      <w:rPr>
        <w:rFonts w:ascii="Book Antiqua" w:hAnsi="Book Antiqua"/>
        <w:i/>
      </w:rPr>
      <w:t>x</w:t>
    </w:r>
    <w:r w:rsidRPr="00B108D7">
      <w:rPr>
        <w:rFonts w:ascii="Book Antiqua" w:hAnsi="Book Antiqua"/>
        <w:i/>
      </w:rPr>
      <w:t>-</w:t>
    </w:r>
    <w:r>
      <w:rPr>
        <w:rFonts w:ascii="Book Antiqua" w:hAnsi="Book Antiqua"/>
        <w:i/>
      </w:rPr>
      <w:t>y</w:t>
    </w:r>
    <w:r w:rsidRPr="00B108D7">
      <w:rPr>
        <w:rFonts w:ascii="Book Antiqua" w:hAnsi="Book Antiqua"/>
        <w:i/>
      </w:rPr>
      <w:t xml:space="preserve">, </w:t>
    </w:r>
    <w:r>
      <w:rPr>
        <w:rFonts w:ascii="Book Antiqua" w:hAnsi="Book Antiqua"/>
        <w:i/>
      </w:rPr>
      <w:t>YEAR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E70ED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Tahoma"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Tahoma"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4E5494"/>
    <w:multiLevelType w:val="hybridMultilevel"/>
    <w:tmpl w:val="276A516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7EB38B6"/>
    <w:multiLevelType w:val="hybridMultilevel"/>
    <w:tmpl w:val="1180E0BE"/>
    <w:lvl w:ilvl="0" w:tplc="72BE4C16">
      <w:start w:val="1"/>
      <w:numFmt w:val="decimal"/>
      <w:lvlText w:val="%1."/>
      <w:lvlJc w:val="left"/>
      <w:pPr>
        <w:ind w:left="720" w:hanging="360"/>
      </w:pPr>
      <w:rPr>
        <w:rFonts w:ascii="Times New Roman" w:hAnsi="Times New Roman"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C3241E"/>
    <w:multiLevelType w:val="hybridMultilevel"/>
    <w:tmpl w:val="4632751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21AE5"/>
    <w:multiLevelType w:val="hybridMultilevel"/>
    <w:tmpl w:val="1E98FC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F484618"/>
    <w:multiLevelType w:val="hybridMultilevel"/>
    <w:tmpl w:val="7E502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400B51"/>
    <w:multiLevelType w:val="hybridMultilevel"/>
    <w:tmpl w:val="C77EA9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5A5F63"/>
    <w:multiLevelType w:val="hybridMultilevel"/>
    <w:tmpl w:val="0C82463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A81B82"/>
    <w:multiLevelType w:val="hybridMultilevel"/>
    <w:tmpl w:val="01881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13A3F"/>
    <w:multiLevelType w:val="hybridMultilevel"/>
    <w:tmpl w:val="80747C1A"/>
    <w:lvl w:ilvl="0" w:tplc="FE140BF2">
      <w:numFmt w:val="bullet"/>
      <w:lvlText w:val=""/>
      <w:lvlJc w:val="left"/>
      <w:pPr>
        <w:ind w:left="1080" w:hanging="360"/>
      </w:pPr>
      <w:rPr>
        <w:rFonts w:ascii="Symbol" w:eastAsiaTheme="minorEastAsia"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41650F0"/>
    <w:multiLevelType w:val="hybridMultilevel"/>
    <w:tmpl w:val="75048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F67EA6"/>
    <w:multiLevelType w:val="hybridMultilevel"/>
    <w:tmpl w:val="5DC6D832"/>
    <w:lvl w:ilvl="0" w:tplc="71845D9A">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08732E"/>
    <w:multiLevelType w:val="hybridMultilevel"/>
    <w:tmpl w:val="D9AA0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8512F8"/>
    <w:multiLevelType w:val="hybridMultilevel"/>
    <w:tmpl w:val="A9B86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AA2ECE"/>
    <w:multiLevelType w:val="hybridMultilevel"/>
    <w:tmpl w:val="224AB5D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7930EC"/>
    <w:multiLevelType w:val="hybridMultilevel"/>
    <w:tmpl w:val="F4D65CA8"/>
    <w:lvl w:ilvl="0" w:tplc="03EAA54E">
      <w:start w:val="1"/>
      <w:numFmt w:val="none"/>
      <w:lvlText w:val="10."/>
      <w:lvlJc w:val="left"/>
      <w:pPr>
        <w:ind w:left="360" w:hanging="360"/>
      </w:pPr>
      <w:rPr>
        <w:rFonts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D605500"/>
    <w:multiLevelType w:val="multilevel"/>
    <w:tmpl w:val="66484EEE"/>
    <w:lvl w:ilvl="0">
      <w:start w:val="62"/>
      <w:numFmt w:val="decimal"/>
      <w:lvlText w:val="%1"/>
      <w:lvlJc w:val="left"/>
      <w:pPr>
        <w:ind w:left="420" w:hanging="420"/>
      </w:pPr>
      <w:rPr>
        <w:rFonts w:ascii="Times New Roman" w:hAnsi="Times New Roman" w:cs="Times New Roman" w:hint="default"/>
        <w:sz w:val="24"/>
      </w:rPr>
    </w:lvl>
    <w:lvl w:ilvl="1">
      <w:start w:val="4"/>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17" w15:restartNumberingAfterBreak="0">
    <w:nsid w:val="719F39FD"/>
    <w:multiLevelType w:val="hybridMultilevel"/>
    <w:tmpl w:val="E124D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CA02DB"/>
    <w:multiLevelType w:val="hybridMultilevel"/>
    <w:tmpl w:val="B3D0D7EA"/>
    <w:lvl w:ilvl="0" w:tplc="A79E0B3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0A79E9"/>
    <w:multiLevelType w:val="hybridMultilevel"/>
    <w:tmpl w:val="84F896E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0" w15:restartNumberingAfterBreak="0">
    <w:nsid w:val="7B41410A"/>
    <w:multiLevelType w:val="hybridMultilevel"/>
    <w:tmpl w:val="D6844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9540ED"/>
    <w:multiLevelType w:val="hybridMultilevel"/>
    <w:tmpl w:val="0D5A9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01485B"/>
    <w:multiLevelType w:val="hybridMultilevel"/>
    <w:tmpl w:val="2E9ED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7"/>
  </w:num>
  <w:num w:numId="4">
    <w:abstractNumId w:val="3"/>
  </w:num>
  <w:num w:numId="5">
    <w:abstractNumId w:val="5"/>
  </w:num>
  <w:num w:numId="6">
    <w:abstractNumId w:val="1"/>
  </w:num>
  <w:num w:numId="7">
    <w:abstractNumId w:val="22"/>
  </w:num>
  <w:num w:numId="8">
    <w:abstractNumId w:val="21"/>
  </w:num>
  <w:num w:numId="9">
    <w:abstractNumId w:val="11"/>
  </w:num>
  <w:num w:numId="10">
    <w:abstractNumId w:val="20"/>
  </w:num>
  <w:num w:numId="11">
    <w:abstractNumId w:val="13"/>
  </w:num>
  <w:num w:numId="12">
    <w:abstractNumId w:val="8"/>
  </w:num>
  <w:num w:numId="13">
    <w:abstractNumId w:val="4"/>
  </w:num>
  <w:num w:numId="14">
    <w:abstractNumId w:val="9"/>
  </w:num>
  <w:num w:numId="15">
    <w:abstractNumId w:val="15"/>
  </w:num>
  <w:num w:numId="16">
    <w:abstractNumId w:val="2"/>
  </w:num>
  <w:num w:numId="17">
    <w:abstractNumId w:val="10"/>
  </w:num>
  <w:num w:numId="18">
    <w:abstractNumId w:val="18"/>
  </w:num>
  <w:num w:numId="19">
    <w:abstractNumId w:val="6"/>
  </w:num>
  <w:num w:numId="20">
    <w:abstractNumId w:val="19"/>
  </w:num>
  <w:num w:numId="21">
    <w:abstractNumId w:val="16"/>
  </w:num>
  <w:num w:numId="22">
    <w:abstractNumId w:val="17"/>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70B"/>
    <w:rsid w:val="000008A8"/>
    <w:rsid w:val="00003A43"/>
    <w:rsid w:val="00005461"/>
    <w:rsid w:val="00010C07"/>
    <w:rsid w:val="00022013"/>
    <w:rsid w:val="00024932"/>
    <w:rsid w:val="000261D0"/>
    <w:rsid w:val="00031D33"/>
    <w:rsid w:val="000331D4"/>
    <w:rsid w:val="00034EA5"/>
    <w:rsid w:val="000377D5"/>
    <w:rsid w:val="00040EB5"/>
    <w:rsid w:val="000512D8"/>
    <w:rsid w:val="0005436C"/>
    <w:rsid w:val="00060828"/>
    <w:rsid w:val="000641CE"/>
    <w:rsid w:val="000658E7"/>
    <w:rsid w:val="00067A90"/>
    <w:rsid w:val="00070D20"/>
    <w:rsid w:val="00074DEB"/>
    <w:rsid w:val="0007783D"/>
    <w:rsid w:val="00077B58"/>
    <w:rsid w:val="00077D43"/>
    <w:rsid w:val="0008185E"/>
    <w:rsid w:val="00082674"/>
    <w:rsid w:val="000835AA"/>
    <w:rsid w:val="00083981"/>
    <w:rsid w:val="0008622F"/>
    <w:rsid w:val="0008627A"/>
    <w:rsid w:val="000B3FFD"/>
    <w:rsid w:val="000B4B3C"/>
    <w:rsid w:val="000C2E13"/>
    <w:rsid w:val="000C66E3"/>
    <w:rsid w:val="000D33F8"/>
    <w:rsid w:val="000D4980"/>
    <w:rsid w:val="000D507B"/>
    <w:rsid w:val="000D5181"/>
    <w:rsid w:val="000D7710"/>
    <w:rsid w:val="000D7941"/>
    <w:rsid w:val="000E136A"/>
    <w:rsid w:val="000E26D4"/>
    <w:rsid w:val="000E7FF0"/>
    <w:rsid w:val="000F0FD8"/>
    <w:rsid w:val="000F58D1"/>
    <w:rsid w:val="00104ECD"/>
    <w:rsid w:val="0010563E"/>
    <w:rsid w:val="001069D4"/>
    <w:rsid w:val="00106B1B"/>
    <w:rsid w:val="00111DFD"/>
    <w:rsid w:val="00117225"/>
    <w:rsid w:val="001206D4"/>
    <w:rsid w:val="0012633E"/>
    <w:rsid w:val="00145436"/>
    <w:rsid w:val="00147020"/>
    <w:rsid w:val="0015250F"/>
    <w:rsid w:val="00152B77"/>
    <w:rsid w:val="00156392"/>
    <w:rsid w:val="00156DFA"/>
    <w:rsid w:val="00160143"/>
    <w:rsid w:val="00160F03"/>
    <w:rsid w:val="001613B3"/>
    <w:rsid w:val="00165AB3"/>
    <w:rsid w:val="0017091D"/>
    <w:rsid w:val="0017715E"/>
    <w:rsid w:val="00180E91"/>
    <w:rsid w:val="001944E7"/>
    <w:rsid w:val="001973D2"/>
    <w:rsid w:val="001A18E2"/>
    <w:rsid w:val="001A3938"/>
    <w:rsid w:val="001B0BF8"/>
    <w:rsid w:val="001B0FBA"/>
    <w:rsid w:val="001B5B03"/>
    <w:rsid w:val="001C4AF5"/>
    <w:rsid w:val="001C6FA6"/>
    <w:rsid w:val="001D1852"/>
    <w:rsid w:val="001D323F"/>
    <w:rsid w:val="001D3E47"/>
    <w:rsid w:val="001D5FEE"/>
    <w:rsid w:val="001E1C41"/>
    <w:rsid w:val="001E3B86"/>
    <w:rsid w:val="001E6A90"/>
    <w:rsid w:val="00201562"/>
    <w:rsid w:val="0020491D"/>
    <w:rsid w:val="002139CF"/>
    <w:rsid w:val="002162C3"/>
    <w:rsid w:val="002178FA"/>
    <w:rsid w:val="00221635"/>
    <w:rsid w:val="0022206D"/>
    <w:rsid w:val="00223C0D"/>
    <w:rsid w:val="002279E4"/>
    <w:rsid w:val="002304C0"/>
    <w:rsid w:val="0023113D"/>
    <w:rsid w:val="0023114D"/>
    <w:rsid w:val="00231B77"/>
    <w:rsid w:val="0023381B"/>
    <w:rsid w:val="002404D4"/>
    <w:rsid w:val="002415E9"/>
    <w:rsid w:val="00243A3D"/>
    <w:rsid w:val="00245646"/>
    <w:rsid w:val="00262CCD"/>
    <w:rsid w:val="00267858"/>
    <w:rsid w:val="00272736"/>
    <w:rsid w:val="002755E8"/>
    <w:rsid w:val="00286538"/>
    <w:rsid w:val="00290C4D"/>
    <w:rsid w:val="002927FD"/>
    <w:rsid w:val="002932B6"/>
    <w:rsid w:val="002964E3"/>
    <w:rsid w:val="002974F0"/>
    <w:rsid w:val="00297758"/>
    <w:rsid w:val="002B0078"/>
    <w:rsid w:val="002B6F53"/>
    <w:rsid w:val="002C5350"/>
    <w:rsid w:val="002C7FDB"/>
    <w:rsid w:val="002D00C3"/>
    <w:rsid w:val="002D11C3"/>
    <w:rsid w:val="002D244C"/>
    <w:rsid w:val="002D5DA0"/>
    <w:rsid w:val="002D6445"/>
    <w:rsid w:val="002E032A"/>
    <w:rsid w:val="002F02EA"/>
    <w:rsid w:val="002F1D45"/>
    <w:rsid w:val="003007B3"/>
    <w:rsid w:val="0030170F"/>
    <w:rsid w:val="003031B5"/>
    <w:rsid w:val="0030342D"/>
    <w:rsid w:val="00307E6E"/>
    <w:rsid w:val="00311BBE"/>
    <w:rsid w:val="0031236E"/>
    <w:rsid w:val="003165E3"/>
    <w:rsid w:val="0032592C"/>
    <w:rsid w:val="00325BAB"/>
    <w:rsid w:val="0032690D"/>
    <w:rsid w:val="0032750C"/>
    <w:rsid w:val="00330561"/>
    <w:rsid w:val="00337590"/>
    <w:rsid w:val="00337BEA"/>
    <w:rsid w:val="00341C16"/>
    <w:rsid w:val="00342215"/>
    <w:rsid w:val="00345C63"/>
    <w:rsid w:val="00345D48"/>
    <w:rsid w:val="0035064A"/>
    <w:rsid w:val="00357381"/>
    <w:rsid w:val="0036386E"/>
    <w:rsid w:val="003660E0"/>
    <w:rsid w:val="0037122B"/>
    <w:rsid w:val="003741E4"/>
    <w:rsid w:val="00380BCF"/>
    <w:rsid w:val="0038200D"/>
    <w:rsid w:val="00383B4B"/>
    <w:rsid w:val="003850CA"/>
    <w:rsid w:val="00387298"/>
    <w:rsid w:val="003A0282"/>
    <w:rsid w:val="003A0790"/>
    <w:rsid w:val="003A4F34"/>
    <w:rsid w:val="003B05FD"/>
    <w:rsid w:val="003B2CF3"/>
    <w:rsid w:val="003B42B4"/>
    <w:rsid w:val="003B4F77"/>
    <w:rsid w:val="003B697F"/>
    <w:rsid w:val="003B6C36"/>
    <w:rsid w:val="003B6C4B"/>
    <w:rsid w:val="003B7FCC"/>
    <w:rsid w:val="003D0F85"/>
    <w:rsid w:val="003D4931"/>
    <w:rsid w:val="003D5B34"/>
    <w:rsid w:val="003E22BE"/>
    <w:rsid w:val="003E7120"/>
    <w:rsid w:val="003F2FC5"/>
    <w:rsid w:val="003F3A17"/>
    <w:rsid w:val="003F6679"/>
    <w:rsid w:val="0040176F"/>
    <w:rsid w:val="00404A33"/>
    <w:rsid w:val="00406989"/>
    <w:rsid w:val="00421E66"/>
    <w:rsid w:val="00422E10"/>
    <w:rsid w:val="004307A9"/>
    <w:rsid w:val="00430FC1"/>
    <w:rsid w:val="00431646"/>
    <w:rsid w:val="00432DF4"/>
    <w:rsid w:val="004348EA"/>
    <w:rsid w:val="00442290"/>
    <w:rsid w:val="00446EF3"/>
    <w:rsid w:val="004529CC"/>
    <w:rsid w:val="00455279"/>
    <w:rsid w:val="00456138"/>
    <w:rsid w:val="00460A72"/>
    <w:rsid w:val="004611D5"/>
    <w:rsid w:val="00466348"/>
    <w:rsid w:val="004708C5"/>
    <w:rsid w:val="004732E7"/>
    <w:rsid w:val="004741B4"/>
    <w:rsid w:val="00480149"/>
    <w:rsid w:val="00491BBA"/>
    <w:rsid w:val="00495A7A"/>
    <w:rsid w:val="00496498"/>
    <w:rsid w:val="004A0233"/>
    <w:rsid w:val="004A096A"/>
    <w:rsid w:val="004A1DF1"/>
    <w:rsid w:val="004A3A10"/>
    <w:rsid w:val="004A4016"/>
    <w:rsid w:val="004A61A1"/>
    <w:rsid w:val="004B05C0"/>
    <w:rsid w:val="004B0A4B"/>
    <w:rsid w:val="004B0E7F"/>
    <w:rsid w:val="004B14DC"/>
    <w:rsid w:val="004B260E"/>
    <w:rsid w:val="004B4DBB"/>
    <w:rsid w:val="004B6EDD"/>
    <w:rsid w:val="004D6614"/>
    <w:rsid w:val="004E1F97"/>
    <w:rsid w:val="004E3092"/>
    <w:rsid w:val="004E45E2"/>
    <w:rsid w:val="004E4D55"/>
    <w:rsid w:val="004F64D2"/>
    <w:rsid w:val="005005DA"/>
    <w:rsid w:val="00517F7A"/>
    <w:rsid w:val="005273A0"/>
    <w:rsid w:val="0053136D"/>
    <w:rsid w:val="00534FA0"/>
    <w:rsid w:val="00545DE4"/>
    <w:rsid w:val="00546206"/>
    <w:rsid w:val="00551E80"/>
    <w:rsid w:val="00554FDB"/>
    <w:rsid w:val="00556886"/>
    <w:rsid w:val="00560B9C"/>
    <w:rsid w:val="00582536"/>
    <w:rsid w:val="00582570"/>
    <w:rsid w:val="0059228A"/>
    <w:rsid w:val="005A05DC"/>
    <w:rsid w:val="005A0E16"/>
    <w:rsid w:val="005A53CC"/>
    <w:rsid w:val="005B4873"/>
    <w:rsid w:val="005B51B0"/>
    <w:rsid w:val="005B5837"/>
    <w:rsid w:val="005B61E4"/>
    <w:rsid w:val="005B72D7"/>
    <w:rsid w:val="005C076C"/>
    <w:rsid w:val="005D1C27"/>
    <w:rsid w:val="005D2594"/>
    <w:rsid w:val="005D5AF9"/>
    <w:rsid w:val="005D6F40"/>
    <w:rsid w:val="005E0FB1"/>
    <w:rsid w:val="005E72D3"/>
    <w:rsid w:val="005E7D41"/>
    <w:rsid w:val="005F0459"/>
    <w:rsid w:val="006014D0"/>
    <w:rsid w:val="006017A8"/>
    <w:rsid w:val="00601BE6"/>
    <w:rsid w:val="00601DB1"/>
    <w:rsid w:val="00606607"/>
    <w:rsid w:val="006076AC"/>
    <w:rsid w:val="00607B9F"/>
    <w:rsid w:val="006136FB"/>
    <w:rsid w:val="00614106"/>
    <w:rsid w:val="00614F51"/>
    <w:rsid w:val="00616120"/>
    <w:rsid w:val="00617678"/>
    <w:rsid w:val="00617F42"/>
    <w:rsid w:val="00620678"/>
    <w:rsid w:val="006227C9"/>
    <w:rsid w:val="0062778D"/>
    <w:rsid w:val="00635467"/>
    <w:rsid w:val="00636C49"/>
    <w:rsid w:val="00642820"/>
    <w:rsid w:val="00644C30"/>
    <w:rsid w:val="00647168"/>
    <w:rsid w:val="00651530"/>
    <w:rsid w:val="006519C6"/>
    <w:rsid w:val="006560B4"/>
    <w:rsid w:val="00660537"/>
    <w:rsid w:val="006608CC"/>
    <w:rsid w:val="0066260F"/>
    <w:rsid w:val="00665266"/>
    <w:rsid w:val="00665E21"/>
    <w:rsid w:val="006662CA"/>
    <w:rsid w:val="00667087"/>
    <w:rsid w:val="00667A46"/>
    <w:rsid w:val="00681C9B"/>
    <w:rsid w:val="00684A32"/>
    <w:rsid w:val="00684AB3"/>
    <w:rsid w:val="00685CE7"/>
    <w:rsid w:val="00686247"/>
    <w:rsid w:val="00687F81"/>
    <w:rsid w:val="006901D5"/>
    <w:rsid w:val="00693C98"/>
    <w:rsid w:val="0069421A"/>
    <w:rsid w:val="00697271"/>
    <w:rsid w:val="006A03CD"/>
    <w:rsid w:val="006A338B"/>
    <w:rsid w:val="006A4B58"/>
    <w:rsid w:val="006A6329"/>
    <w:rsid w:val="006A6EF6"/>
    <w:rsid w:val="006B04C6"/>
    <w:rsid w:val="006B389B"/>
    <w:rsid w:val="006B4FB5"/>
    <w:rsid w:val="006B52D1"/>
    <w:rsid w:val="006C17D0"/>
    <w:rsid w:val="006C403A"/>
    <w:rsid w:val="006C60C0"/>
    <w:rsid w:val="006D1E18"/>
    <w:rsid w:val="006D406E"/>
    <w:rsid w:val="006D7317"/>
    <w:rsid w:val="006D7C93"/>
    <w:rsid w:val="006E078A"/>
    <w:rsid w:val="006E148C"/>
    <w:rsid w:val="00701F87"/>
    <w:rsid w:val="007067BA"/>
    <w:rsid w:val="007106ED"/>
    <w:rsid w:val="00713AC7"/>
    <w:rsid w:val="0072146D"/>
    <w:rsid w:val="00722350"/>
    <w:rsid w:val="00722E9E"/>
    <w:rsid w:val="007315C7"/>
    <w:rsid w:val="00736303"/>
    <w:rsid w:val="00746BAF"/>
    <w:rsid w:val="00752A17"/>
    <w:rsid w:val="00757D07"/>
    <w:rsid w:val="00761991"/>
    <w:rsid w:val="00763359"/>
    <w:rsid w:val="007647CE"/>
    <w:rsid w:val="007663F1"/>
    <w:rsid w:val="00771481"/>
    <w:rsid w:val="007806EF"/>
    <w:rsid w:val="007813A0"/>
    <w:rsid w:val="0078164D"/>
    <w:rsid w:val="00787EFA"/>
    <w:rsid w:val="00791180"/>
    <w:rsid w:val="007A053C"/>
    <w:rsid w:val="007A1EBE"/>
    <w:rsid w:val="007A2189"/>
    <w:rsid w:val="007A21A0"/>
    <w:rsid w:val="007A2D5E"/>
    <w:rsid w:val="007A4F11"/>
    <w:rsid w:val="007A542D"/>
    <w:rsid w:val="007B2FAC"/>
    <w:rsid w:val="007B4CF1"/>
    <w:rsid w:val="007C643B"/>
    <w:rsid w:val="007D126B"/>
    <w:rsid w:val="007D4773"/>
    <w:rsid w:val="007D6684"/>
    <w:rsid w:val="007D66AF"/>
    <w:rsid w:val="007E3E1C"/>
    <w:rsid w:val="007E4D63"/>
    <w:rsid w:val="007E5B84"/>
    <w:rsid w:val="007F5319"/>
    <w:rsid w:val="008110F4"/>
    <w:rsid w:val="008137F2"/>
    <w:rsid w:val="00814DC1"/>
    <w:rsid w:val="00814F6A"/>
    <w:rsid w:val="008204A2"/>
    <w:rsid w:val="008206ED"/>
    <w:rsid w:val="008247B9"/>
    <w:rsid w:val="00831584"/>
    <w:rsid w:val="00833FB7"/>
    <w:rsid w:val="008347E0"/>
    <w:rsid w:val="00840AB9"/>
    <w:rsid w:val="008426D8"/>
    <w:rsid w:val="00844090"/>
    <w:rsid w:val="00844A29"/>
    <w:rsid w:val="0085351E"/>
    <w:rsid w:val="00853D55"/>
    <w:rsid w:val="0085497F"/>
    <w:rsid w:val="00855F6B"/>
    <w:rsid w:val="00861359"/>
    <w:rsid w:val="00866185"/>
    <w:rsid w:val="008726C2"/>
    <w:rsid w:val="00872713"/>
    <w:rsid w:val="00883A90"/>
    <w:rsid w:val="00895746"/>
    <w:rsid w:val="00895EC3"/>
    <w:rsid w:val="00896BA6"/>
    <w:rsid w:val="008A0667"/>
    <w:rsid w:val="008A467F"/>
    <w:rsid w:val="008A57EB"/>
    <w:rsid w:val="008B326F"/>
    <w:rsid w:val="008B3B9D"/>
    <w:rsid w:val="008B4018"/>
    <w:rsid w:val="008B764C"/>
    <w:rsid w:val="008D1CB6"/>
    <w:rsid w:val="008D2913"/>
    <w:rsid w:val="008D4C69"/>
    <w:rsid w:val="008D6E3F"/>
    <w:rsid w:val="008E3DB1"/>
    <w:rsid w:val="008E5179"/>
    <w:rsid w:val="008F5FBB"/>
    <w:rsid w:val="008F631C"/>
    <w:rsid w:val="009014E8"/>
    <w:rsid w:val="00902352"/>
    <w:rsid w:val="009117B2"/>
    <w:rsid w:val="00917098"/>
    <w:rsid w:val="00923868"/>
    <w:rsid w:val="00925100"/>
    <w:rsid w:val="00926332"/>
    <w:rsid w:val="00926B3F"/>
    <w:rsid w:val="00930EB2"/>
    <w:rsid w:val="00931ABB"/>
    <w:rsid w:val="00932C77"/>
    <w:rsid w:val="00946066"/>
    <w:rsid w:val="00946E2E"/>
    <w:rsid w:val="00947B7B"/>
    <w:rsid w:val="00952BC2"/>
    <w:rsid w:val="009565C3"/>
    <w:rsid w:val="009644C2"/>
    <w:rsid w:val="009666CB"/>
    <w:rsid w:val="009712BF"/>
    <w:rsid w:val="00972D91"/>
    <w:rsid w:val="00974149"/>
    <w:rsid w:val="0097755E"/>
    <w:rsid w:val="00982902"/>
    <w:rsid w:val="00984CED"/>
    <w:rsid w:val="00990B7F"/>
    <w:rsid w:val="00991972"/>
    <w:rsid w:val="009940FA"/>
    <w:rsid w:val="009947BD"/>
    <w:rsid w:val="009A0D3D"/>
    <w:rsid w:val="009A148F"/>
    <w:rsid w:val="009A4B9D"/>
    <w:rsid w:val="009B5D76"/>
    <w:rsid w:val="009C0624"/>
    <w:rsid w:val="009C15F4"/>
    <w:rsid w:val="009C2496"/>
    <w:rsid w:val="009C3C93"/>
    <w:rsid w:val="009C606D"/>
    <w:rsid w:val="009C7D50"/>
    <w:rsid w:val="009D0DEE"/>
    <w:rsid w:val="009D31E5"/>
    <w:rsid w:val="009F48F5"/>
    <w:rsid w:val="00A01FD1"/>
    <w:rsid w:val="00A0350C"/>
    <w:rsid w:val="00A0579B"/>
    <w:rsid w:val="00A10F01"/>
    <w:rsid w:val="00A142A7"/>
    <w:rsid w:val="00A17486"/>
    <w:rsid w:val="00A17FBE"/>
    <w:rsid w:val="00A27123"/>
    <w:rsid w:val="00A32C21"/>
    <w:rsid w:val="00A340E1"/>
    <w:rsid w:val="00A346C3"/>
    <w:rsid w:val="00A34A72"/>
    <w:rsid w:val="00A37344"/>
    <w:rsid w:val="00A42AA4"/>
    <w:rsid w:val="00A44E7C"/>
    <w:rsid w:val="00A46AD6"/>
    <w:rsid w:val="00A50164"/>
    <w:rsid w:val="00A50F09"/>
    <w:rsid w:val="00A61EFA"/>
    <w:rsid w:val="00A62D81"/>
    <w:rsid w:val="00A639FF"/>
    <w:rsid w:val="00A65CF0"/>
    <w:rsid w:val="00A7028C"/>
    <w:rsid w:val="00A801E5"/>
    <w:rsid w:val="00A8058C"/>
    <w:rsid w:val="00A8550F"/>
    <w:rsid w:val="00A87128"/>
    <w:rsid w:val="00A9687A"/>
    <w:rsid w:val="00AC06D8"/>
    <w:rsid w:val="00AC0FDD"/>
    <w:rsid w:val="00AC3EB9"/>
    <w:rsid w:val="00AC6225"/>
    <w:rsid w:val="00AD2BAF"/>
    <w:rsid w:val="00AE5909"/>
    <w:rsid w:val="00AF1B81"/>
    <w:rsid w:val="00AF2652"/>
    <w:rsid w:val="00AF3D20"/>
    <w:rsid w:val="00AF5C80"/>
    <w:rsid w:val="00AF5CC2"/>
    <w:rsid w:val="00AF6185"/>
    <w:rsid w:val="00AF7062"/>
    <w:rsid w:val="00B01736"/>
    <w:rsid w:val="00B068FA"/>
    <w:rsid w:val="00B108D7"/>
    <w:rsid w:val="00B13296"/>
    <w:rsid w:val="00B14EF4"/>
    <w:rsid w:val="00B165CD"/>
    <w:rsid w:val="00B177C6"/>
    <w:rsid w:val="00B21133"/>
    <w:rsid w:val="00B21EFC"/>
    <w:rsid w:val="00B255C4"/>
    <w:rsid w:val="00B3004E"/>
    <w:rsid w:val="00B34557"/>
    <w:rsid w:val="00B37952"/>
    <w:rsid w:val="00B40393"/>
    <w:rsid w:val="00B40715"/>
    <w:rsid w:val="00B430E2"/>
    <w:rsid w:val="00B4662C"/>
    <w:rsid w:val="00B46A8B"/>
    <w:rsid w:val="00B47604"/>
    <w:rsid w:val="00B52CD8"/>
    <w:rsid w:val="00B54457"/>
    <w:rsid w:val="00B5754F"/>
    <w:rsid w:val="00B62316"/>
    <w:rsid w:val="00B6447B"/>
    <w:rsid w:val="00B64A2A"/>
    <w:rsid w:val="00B660D9"/>
    <w:rsid w:val="00B6636B"/>
    <w:rsid w:val="00B71647"/>
    <w:rsid w:val="00B83CBA"/>
    <w:rsid w:val="00B862AB"/>
    <w:rsid w:val="00B901BD"/>
    <w:rsid w:val="00B91383"/>
    <w:rsid w:val="00B93DE5"/>
    <w:rsid w:val="00BA39A0"/>
    <w:rsid w:val="00BA43BD"/>
    <w:rsid w:val="00BA521A"/>
    <w:rsid w:val="00BB069D"/>
    <w:rsid w:val="00BB2E3E"/>
    <w:rsid w:val="00BB5348"/>
    <w:rsid w:val="00BB7898"/>
    <w:rsid w:val="00BC0468"/>
    <w:rsid w:val="00BC151E"/>
    <w:rsid w:val="00BC28FC"/>
    <w:rsid w:val="00BC3B45"/>
    <w:rsid w:val="00BC5097"/>
    <w:rsid w:val="00BC5F72"/>
    <w:rsid w:val="00BD3E3F"/>
    <w:rsid w:val="00BD46D6"/>
    <w:rsid w:val="00BE1C8C"/>
    <w:rsid w:val="00BE4258"/>
    <w:rsid w:val="00BE7A5B"/>
    <w:rsid w:val="00C0312B"/>
    <w:rsid w:val="00C10894"/>
    <w:rsid w:val="00C10CC9"/>
    <w:rsid w:val="00C1193F"/>
    <w:rsid w:val="00C14C44"/>
    <w:rsid w:val="00C14EC1"/>
    <w:rsid w:val="00C17CF7"/>
    <w:rsid w:val="00C17F2B"/>
    <w:rsid w:val="00C27D34"/>
    <w:rsid w:val="00C3147D"/>
    <w:rsid w:val="00C32479"/>
    <w:rsid w:val="00C34BCA"/>
    <w:rsid w:val="00C35735"/>
    <w:rsid w:val="00C40553"/>
    <w:rsid w:val="00C40E49"/>
    <w:rsid w:val="00C40F49"/>
    <w:rsid w:val="00C42EE7"/>
    <w:rsid w:val="00C46772"/>
    <w:rsid w:val="00C46DE7"/>
    <w:rsid w:val="00C51826"/>
    <w:rsid w:val="00C5284F"/>
    <w:rsid w:val="00C52D34"/>
    <w:rsid w:val="00C5473C"/>
    <w:rsid w:val="00C5608A"/>
    <w:rsid w:val="00C5663A"/>
    <w:rsid w:val="00C6232E"/>
    <w:rsid w:val="00C63BBE"/>
    <w:rsid w:val="00C674A4"/>
    <w:rsid w:val="00C6796C"/>
    <w:rsid w:val="00C7006A"/>
    <w:rsid w:val="00C80241"/>
    <w:rsid w:val="00C838FC"/>
    <w:rsid w:val="00C900BB"/>
    <w:rsid w:val="00CA1817"/>
    <w:rsid w:val="00CA5671"/>
    <w:rsid w:val="00CB2559"/>
    <w:rsid w:val="00CB3401"/>
    <w:rsid w:val="00CB5531"/>
    <w:rsid w:val="00CB5749"/>
    <w:rsid w:val="00CB6F3C"/>
    <w:rsid w:val="00CC5155"/>
    <w:rsid w:val="00CC6EED"/>
    <w:rsid w:val="00CC74AB"/>
    <w:rsid w:val="00CD568C"/>
    <w:rsid w:val="00CD7934"/>
    <w:rsid w:val="00CE23E5"/>
    <w:rsid w:val="00CE2B6D"/>
    <w:rsid w:val="00CE4861"/>
    <w:rsid w:val="00CE5ACA"/>
    <w:rsid w:val="00CE6130"/>
    <w:rsid w:val="00CF1A23"/>
    <w:rsid w:val="00CF459C"/>
    <w:rsid w:val="00CF4E60"/>
    <w:rsid w:val="00CF6510"/>
    <w:rsid w:val="00CF6F40"/>
    <w:rsid w:val="00D07AA9"/>
    <w:rsid w:val="00D1110E"/>
    <w:rsid w:val="00D201E7"/>
    <w:rsid w:val="00D27116"/>
    <w:rsid w:val="00D30497"/>
    <w:rsid w:val="00D34C23"/>
    <w:rsid w:val="00D35A25"/>
    <w:rsid w:val="00D3768B"/>
    <w:rsid w:val="00D37809"/>
    <w:rsid w:val="00D41568"/>
    <w:rsid w:val="00D41CD7"/>
    <w:rsid w:val="00D450FA"/>
    <w:rsid w:val="00D45E1D"/>
    <w:rsid w:val="00D46831"/>
    <w:rsid w:val="00D54AF5"/>
    <w:rsid w:val="00D635A6"/>
    <w:rsid w:val="00D64124"/>
    <w:rsid w:val="00D65856"/>
    <w:rsid w:val="00D7364B"/>
    <w:rsid w:val="00D75C7C"/>
    <w:rsid w:val="00D77473"/>
    <w:rsid w:val="00D779AF"/>
    <w:rsid w:val="00D82D04"/>
    <w:rsid w:val="00D86086"/>
    <w:rsid w:val="00D86106"/>
    <w:rsid w:val="00D86587"/>
    <w:rsid w:val="00D86716"/>
    <w:rsid w:val="00D90AF9"/>
    <w:rsid w:val="00D92D01"/>
    <w:rsid w:val="00D932A1"/>
    <w:rsid w:val="00D936E0"/>
    <w:rsid w:val="00DA0280"/>
    <w:rsid w:val="00DA4FAB"/>
    <w:rsid w:val="00DA6467"/>
    <w:rsid w:val="00DA65C1"/>
    <w:rsid w:val="00DC0ECC"/>
    <w:rsid w:val="00DC11E8"/>
    <w:rsid w:val="00DC16B1"/>
    <w:rsid w:val="00DC4234"/>
    <w:rsid w:val="00DC6DD1"/>
    <w:rsid w:val="00DD12F3"/>
    <w:rsid w:val="00DD56B1"/>
    <w:rsid w:val="00DE14B2"/>
    <w:rsid w:val="00DE3B19"/>
    <w:rsid w:val="00DE54C1"/>
    <w:rsid w:val="00DE5C38"/>
    <w:rsid w:val="00DF6F2A"/>
    <w:rsid w:val="00DF7807"/>
    <w:rsid w:val="00E00986"/>
    <w:rsid w:val="00E04446"/>
    <w:rsid w:val="00E13ACF"/>
    <w:rsid w:val="00E1571C"/>
    <w:rsid w:val="00E1609C"/>
    <w:rsid w:val="00E308F6"/>
    <w:rsid w:val="00E402A3"/>
    <w:rsid w:val="00E40E83"/>
    <w:rsid w:val="00E449B7"/>
    <w:rsid w:val="00E45B3C"/>
    <w:rsid w:val="00E50F95"/>
    <w:rsid w:val="00E51175"/>
    <w:rsid w:val="00E53716"/>
    <w:rsid w:val="00E577C6"/>
    <w:rsid w:val="00E57E93"/>
    <w:rsid w:val="00E603AE"/>
    <w:rsid w:val="00E61C3B"/>
    <w:rsid w:val="00E62A68"/>
    <w:rsid w:val="00E63FD5"/>
    <w:rsid w:val="00E649F1"/>
    <w:rsid w:val="00E6532B"/>
    <w:rsid w:val="00E676F3"/>
    <w:rsid w:val="00E74FF4"/>
    <w:rsid w:val="00E90634"/>
    <w:rsid w:val="00E91473"/>
    <w:rsid w:val="00E935D2"/>
    <w:rsid w:val="00E93F03"/>
    <w:rsid w:val="00E954AF"/>
    <w:rsid w:val="00EA17C8"/>
    <w:rsid w:val="00EA19DA"/>
    <w:rsid w:val="00EB4C87"/>
    <w:rsid w:val="00EB61C6"/>
    <w:rsid w:val="00EC070B"/>
    <w:rsid w:val="00EC33EE"/>
    <w:rsid w:val="00EC418B"/>
    <w:rsid w:val="00EC76D0"/>
    <w:rsid w:val="00ED250D"/>
    <w:rsid w:val="00ED4FC1"/>
    <w:rsid w:val="00EE1479"/>
    <w:rsid w:val="00EE2F63"/>
    <w:rsid w:val="00EE49CE"/>
    <w:rsid w:val="00EE5B03"/>
    <w:rsid w:val="00EF1217"/>
    <w:rsid w:val="00EF2FCD"/>
    <w:rsid w:val="00EF3E54"/>
    <w:rsid w:val="00F0094D"/>
    <w:rsid w:val="00F00ED0"/>
    <w:rsid w:val="00F04450"/>
    <w:rsid w:val="00F044B4"/>
    <w:rsid w:val="00F04BCD"/>
    <w:rsid w:val="00F04C61"/>
    <w:rsid w:val="00F0526D"/>
    <w:rsid w:val="00F0607F"/>
    <w:rsid w:val="00F14BC6"/>
    <w:rsid w:val="00F15FAA"/>
    <w:rsid w:val="00F1775B"/>
    <w:rsid w:val="00F231A1"/>
    <w:rsid w:val="00F27471"/>
    <w:rsid w:val="00F30867"/>
    <w:rsid w:val="00F30F11"/>
    <w:rsid w:val="00F32450"/>
    <w:rsid w:val="00F330BB"/>
    <w:rsid w:val="00F35D69"/>
    <w:rsid w:val="00F42DFB"/>
    <w:rsid w:val="00F43E77"/>
    <w:rsid w:val="00F449D7"/>
    <w:rsid w:val="00F50866"/>
    <w:rsid w:val="00F50B05"/>
    <w:rsid w:val="00F50B67"/>
    <w:rsid w:val="00F50F33"/>
    <w:rsid w:val="00F519DF"/>
    <w:rsid w:val="00F53B1E"/>
    <w:rsid w:val="00F55EB5"/>
    <w:rsid w:val="00F6034D"/>
    <w:rsid w:val="00F62F5B"/>
    <w:rsid w:val="00F635D0"/>
    <w:rsid w:val="00F63B5C"/>
    <w:rsid w:val="00F641A3"/>
    <w:rsid w:val="00F7610D"/>
    <w:rsid w:val="00F76E25"/>
    <w:rsid w:val="00F84E2F"/>
    <w:rsid w:val="00F85C78"/>
    <w:rsid w:val="00F916C8"/>
    <w:rsid w:val="00F970F5"/>
    <w:rsid w:val="00F97847"/>
    <w:rsid w:val="00FA0136"/>
    <w:rsid w:val="00FA3101"/>
    <w:rsid w:val="00FB5AC9"/>
    <w:rsid w:val="00FB66BF"/>
    <w:rsid w:val="00FC171B"/>
    <w:rsid w:val="00FC2769"/>
    <w:rsid w:val="00FC2DDA"/>
    <w:rsid w:val="00FD055B"/>
    <w:rsid w:val="00FD1060"/>
    <w:rsid w:val="00FE2ABD"/>
    <w:rsid w:val="00FE418B"/>
    <w:rsid w:val="00FE6D69"/>
    <w:rsid w:val="00FF3EF6"/>
    <w:rsid w:val="00FF7F5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20C2E4"/>
  <w15:docId w15:val="{8607CB86-AC42-A443-BD13-4F71F9145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7">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99" w:unhideWhenUsed="1"/>
    <w:lsdException w:name="Table Grid" w:uiPriority="39"/>
    <w:lsdException w:name="Placeholder Text" w:semiHidden="1"/>
    <w:lsdException w:name="No Spacing" w:uiPriority="1"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B5837"/>
  </w:style>
  <w:style w:type="paragraph" w:styleId="Heading1">
    <w:name w:val="heading 1"/>
    <w:basedOn w:val="Normal"/>
    <w:next w:val="Normal"/>
    <w:qFormat/>
    <w:rsid w:val="005B5837"/>
    <w:pPr>
      <w:keepNext/>
      <w:outlineLvl w:val="0"/>
    </w:pPr>
    <w:rPr>
      <w:sz w:val="28"/>
    </w:rPr>
  </w:style>
  <w:style w:type="paragraph" w:styleId="Heading2">
    <w:name w:val="heading 2"/>
    <w:basedOn w:val="Normal"/>
    <w:next w:val="Normal"/>
    <w:qFormat/>
    <w:rsid w:val="005B5837"/>
    <w:pPr>
      <w:keepNext/>
      <w:outlineLvl w:val="1"/>
    </w:pPr>
    <w:rPr>
      <w:b/>
      <w:bCs/>
    </w:rPr>
  </w:style>
  <w:style w:type="paragraph" w:styleId="Heading5">
    <w:name w:val="heading 5"/>
    <w:basedOn w:val="Normal"/>
    <w:next w:val="Normal"/>
    <w:link w:val="Heading5Char"/>
    <w:rsid w:val="00156DF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C77F3"/>
    <w:rPr>
      <w:i/>
      <w:iCs/>
    </w:rPr>
  </w:style>
  <w:style w:type="character" w:styleId="FollowedHyperlink">
    <w:name w:val="FollowedHyperlink"/>
    <w:rsid w:val="00A90BEF"/>
    <w:rPr>
      <w:color w:val="800080"/>
      <w:u w:val="single"/>
    </w:rPr>
  </w:style>
  <w:style w:type="character" w:styleId="Hyperlink">
    <w:name w:val="Hyperlink"/>
    <w:uiPriority w:val="99"/>
    <w:rsid w:val="003356BA"/>
    <w:rPr>
      <w:color w:val="0000FF"/>
      <w:u w:val="single"/>
    </w:rPr>
  </w:style>
  <w:style w:type="character" w:customStyle="1" w:styleId="ti">
    <w:name w:val="ti"/>
    <w:basedOn w:val="DefaultParagraphFont"/>
    <w:uiPriority w:val="99"/>
    <w:rsid w:val="0078793E"/>
  </w:style>
  <w:style w:type="paragraph" w:styleId="HTMLPreformatted">
    <w:name w:val="HTML Preformatted"/>
    <w:basedOn w:val="Normal"/>
    <w:link w:val="HTMLPreformattedChar"/>
    <w:uiPriority w:val="99"/>
    <w:rsid w:val="00537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styleId="TableGrid">
    <w:name w:val="Table Grid"/>
    <w:basedOn w:val="TableNormal"/>
    <w:uiPriority w:val="39"/>
    <w:rsid w:val="00D60D9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rsid w:val="008A6C8A"/>
    <w:pPr>
      <w:tabs>
        <w:tab w:val="center" w:pos="4680"/>
        <w:tab w:val="right" w:pos="9360"/>
      </w:tabs>
    </w:pPr>
  </w:style>
  <w:style w:type="character" w:customStyle="1" w:styleId="HeaderChar">
    <w:name w:val="Header Char"/>
    <w:link w:val="Header"/>
    <w:uiPriority w:val="99"/>
    <w:rsid w:val="008A6C8A"/>
    <w:rPr>
      <w:sz w:val="24"/>
      <w:szCs w:val="24"/>
    </w:rPr>
  </w:style>
  <w:style w:type="paragraph" w:styleId="Footer">
    <w:name w:val="footer"/>
    <w:basedOn w:val="Normal"/>
    <w:link w:val="FooterChar"/>
    <w:uiPriority w:val="99"/>
    <w:rsid w:val="008A6C8A"/>
    <w:pPr>
      <w:tabs>
        <w:tab w:val="center" w:pos="4680"/>
        <w:tab w:val="right" w:pos="9360"/>
      </w:tabs>
    </w:pPr>
  </w:style>
  <w:style w:type="character" w:customStyle="1" w:styleId="FooterChar">
    <w:name w:val="Footer Char"/>
    <w:link w:val="Footer"/>
    <w:uiPriority w:val="99"/>
    <w:rsid w:val="008A6C8A"/>
    <w:rPr>
      <w:sz w:val="24"/>
      <w:szCs w:val="24"/>
    </w:rPr>
  </w:style>
  <w:style w:type="character" w:customStyle="1" w:styleId="pages">
    <w:name w:val="pages"/>
    <w:uiPriority w:val="99"/>
    <w:rsid w:val="00C90184"/>
    <w:rPr>
      <w:rFonts w:cs="Times New Roman"/>
    </w:rPr>
  </w:style>
  <w:style w:type="character" w:customStyle="1" w:styleId="Technical4">
    <w:name w:val="Technical[4]"/>
    <w:rsid w:val="00AF310C"/>
    <w:rPr>
      <w:b/>
      <w:bCs/>
    </w:rPr>
  </w:style>
  <w:style w:type="character" w:customStyle="1" w:styleId="apple-converted-space">
    <w:name w:val="apple-converted-space"/>
    <w:rsid w:val="004F1BAE"/>
  </w:style>
  <w:style w:type="paragraph" w:customStyle="1" w:styleId="Style">
    <w:name w:val="Style"/>
    <w:rsid w:val="004F1BAE"/>
    <w:pPr>
      <w:widowControl w:val="0"/>
      <w:overflowPunct w:val="0"/>
      <w:autoSpaceDE w:val="0"/>
      <w:autoSpaceDN w:val="0"/>
      <w:adjustRightInd w:val="0"/>
      <w:jc w:val="both"/>
      <w:textAlignment w:val="baseline"/>
    </w:pPr>
    <w:rPr>
      <w:lang w:val="en-IE" w:eastAsia="en-GB"/>
    </w:rPr>
  </w:style>
  <w:style w:type="paragraph" w:customStyle="1" w:styleId="MediumGrid21">
    <w:name w:val="Medium Grid 21"/>
    <w:qFormat/>
    <w:rsid w:val="00FF4EE6"/>
    <w:pPr>
      <w:jc w:val="both"/>
    </w:pPr>
    <w:rPr>
      <w:rFonts w:eastAsia="Calibri"/>
      <w:lang w:val="en-IE"/>
    </w:rPr>
  </w:style>
  <w:style w:type="paragraph" w:styleId="Caption">
    <w:name w:val="caption"/>
    <w:basedOn w:val="Normal"/>
    <w:next w:val="Normal"/>
    <w:uiPriority w:val="35"/>
    <w:qFormat/>
    <w:rsid w:val="00C7191C"/>
    <w:rPr>
      <w:b/>
      <w:bCs/>
      <w:sz w:val="20"/>
      <w:szCs w:val="20"/>
    </w:rPr>
  </w:style>
  <w:style w:type="paragraph" w:styleId="Bibliography">
    <w:name w:val="Bibliography"/>
    <w:basedOn w:val="Normal"/>
    <w:next w:val="Normal"/>
    <w:uiPriority w:val="37"/>
    <w:unhideWhenUsed/>
    <w:rsid w:val="008316AE"/>
  </w:style>
  <w:style w:type="character" w:customStyle="1" w:styleId="medium-normal">
    <w:name w:val="medium-normal"/>
    <w:rsid w:val="00367A1C"/>
  </w:style>
  <w:style w:type="paragraph" w:customStyle="1" w:styleId="Default">
    <w:name w:val="Default"/>
    <w:rsid w:val="003A17F3"/>
    <w:pPr>
      <w:tabs>
        <w:tab w:val="left" w:pos="709"/>
      </w:tabs>
      <w:suppressAutoHyphens/>
      <w:spacing w:after="200" w:line="276" w:lineRule="atLeast"/>
    </w:pPr>
    <w:rPr>
      <w:rFonts w:ascii="Calibri" w:hAnsi="Calibri"/>
      <w:sz w:val="22"/>
      <w:szCs w:val="22"/>
    </w:rPr>
  </w:style>
  <w:style w:type="character" w:customStyle="1" w:styleId="Linenumbering">
    <w:name w:val="Line numbering"/>
    <w:rsid w:val="00846976"/>
  </w:style>
  <w:style w:type="character" w:styleId="PageNumber">
    <w:name w:val="page number"/>
    <w:uiPriority w:val="99"/>
    <w:rsid w:val="006972E8"/>
  </w:style>
  <w:style w:type="character" w:customStyle="1" w:styleId="BodyText3Char">
    <w:name w:val="Body Text 3 Char"/>
    <w:link w:val="BodyText3"/>
    <w:rsid w:val="004F7232"/>
    <w:rPr>
      <w:b/>
      <w:bCs/>
      <w:sz w:val="24"/>
      <w:szCs w:val="24"/>
    </w:rPr>
  </w:style>
  <w:style w:type="paragraph" w:styleId="BodyText3">
    <w:name w:val="Body Text 3"/>
    <w:basedOn w:val="Normal"/>
    <w:link w:val="BodyText3Char"/>
    <w:rsid w:val="004F7232"/>
    <w:pPr>
      <w:autoSpaceDE w:val="0"/>
      <w:autoSpaceDN w:val="0"/>
      <w:adjustRightInd w:val="0"/>
    </w:pPr>
    <w:rPr>
      <w:b/>
      <w:bCs/>
    </w:rPr>
  </w:style>
  <w:style w:type="character" w:customStyle="1" w:styleId="SubtitleChar">
    <w:name w:val="Subtitle Char"/>
    <w:link w:val="Subtitle"/>
    <w:uiPriority w:val="11"/>
    <w:rsid w:val="004F7232"/>
    <w:rPr>
      <w:rFonts w:ascii="Cambria" w:eastAsia="MS Gothic" w:hAnsi="Cambria"/>
      <w:sz w:val="24"/>
      <w:szCs w:val="24"/>
    </w:rPr>
  </w:style>
  <w:style w:type="paragraph" w:styleId="Subtitle">
    <w:name w:val="Subtitle"/>
    <w:basedOn w:val="Normal"/>
    <w:next w:val="Normal"/>
    <w:link w:val="SubtitleChar"/>
    <w:uiPriority w:val="11"/>
    <w:qFormat/>
    <w:rsid w:val="004F7232"/>
    <w:pPr>
      <w:spacing w:after="60"/>
      <w:jc w:val="center"/>
      <w:outlineLvl w:val="1"/>
    </w:pPr>
    <w:rPr>
      <w:rFonts w:ascii="Cambria" w:eastAsia="MS Gothic" w:hAnsi="Cambria"/>
    </w:rPr>
  </w:style>
  <w:style w:type="character" w:customStyle="1" w:styleId="BodyTextIndent2Char">
    <w:name w:val="Body Text Indent 2 Char"/>
    <w:link w:val="BodyTextIndent2"/>
    <w:uiPriority w:val="99"/>
    <w:rsid w:val="004F7232"/>
    <w:rPr>
      <w:sz w:val="24"/>
      <w:szCs w:val="24"/>
    </w:rPr>
  </w:style>
  <w:style w:type="paragraph" w:styleId="BodyTextIndent2">
    <w:name w:val="Body Text Indent 2"/>
    <w:basedOn w:val="Normal"/>
    <w:link w:val="BodyTextIndent2Char"/>
    <w:uiPriority w:val="99"/>
    <w:unhideWhenUsed/>
    <w:rsid w:val="004F7232"/>
    <w:pPr>
      <w:spacing w:after="120" w:line="480" w:lineRule="auto"/>
      <w:ind w:left="360"/>
    </w:pPr>
  </w:style>
  <w:style w:type="character" w:customStyle="1" w:styleId="BalloonTextChar">
    <w:name w:val="Balloon Text Char"/>
    <w:link w:val="BalloonText"/>
    <w:uiPriority w:val="99"/>
    <w:rsid w:val="004F7232"/>
    <w:rPr>
      <w:rFonts w:ascii="Tahoma" w:hAnsi="Tahoma" w:cs="Tahoma"/>
      <w:sz w:val="16"/>
      <w:szCs w:val="16"/>
    </w:rPr>
  </w:style>
  <w:style w:type="paragraph" w:styleId="BalloonText">
    <w:name w:val="Balloon Text"/>
    <w:basedOn w:val="Normal"/>
    <w:link w:val="BalloonTextChar"/>
    <w:uiPriority w:val="99"/>
    <w:unhideWhenUsed/>
    <w:rsid w:val="004F7232"/>
    <w:rPr>
      <w:rFonts w:ascii="Tahoma" w:hAnsi="Tahoma" w:cs="Tahoma"/>
      <w:sz w:val="16"/>
      <w:szCs w:val="16"/>
    </w:rPr>
  </w:style>
  <w:style w:type="paragraph" w:styleId="NormalWeb">
    <w:name w:val="Normal (Web)"/>
    <w:basedOn w:val="Normal"/>
    <w:uiPriority w:val="99"/>
    <w:unhideWhenUsed/>
    <w:rsid w:val="009C15B2"/>
    <w:pPr>
      <w:spacing w:before="100" w:beforeAutospacing="1" w:after="100" w:afterAutospacing="1"/>
    </w:pPr>
    <w:rPr>
      <w:lang w:val="en-GB" w:eastAsia="en-GB"/>
    </w:rPr>
  </w:style>
  <w:style w:type="paragraph" w:styleId="ListParagraph">
    <w:name w:val="List Paragraph"/>
    <w:basedOn w:val="Normal"/>
    <w:uiPriority w:val="34"/>
    <w:qFormat/>
    <w:rsid w:val="00C17CF7"/>
    <w:pPr>
      <w:spacing w:after="200" w:line="276" w:lineRule="auto"/>
      <w:ind w:left="720"/>
      <w:contextualSpacing/>
    </w:pPr>
    <w:rPr>
      <w:rFonts w:ascii="Calibri" w:eastAsia="Calibri" w:hAnsi="Calibri"/>
      <w:sz w:val="22"/>
      <w:szCs w:val="22"/>
    </w:rPr>
  </w:style>
  <w:style w:type="character" w:customStyle="1" w:styleId="HTMLPreformattedChar">
    <w:name w:val="HTML Preformatted Char"/>
    <w:link w:val="HTMLPreformatted"/>
    <w:uiPriority w:val="99"/>
    <w:locked/>
    <w:rsid w:val="003A0790"/>
    <w:rPr>
      <w:rFonts w:ascii="Courier New" w:hAnsi="Courier New" w:cs="Courier New"/>
    </w:rPr>
  </w:style>
  <w:style w:type="character" w:styleId="Strong">
    <w:name w:val="Strong"/>
    <w:uiPriority w:val="22"/>
    <w:qFormat/>
    <w:rsid w:val="007B4CF1"/>
    <w:rPr>
      <w:b/>
      <w:bCs/>
    </w:rPr>
  </w:style>
  <w:style w:type="paragraph" w:styleId="NoSpacing">
    <w:name w:val="No Spacing"/>
    <w:link w:val="NoSpacingChar"/>
    <w:uiPriority w:val="1"/>
    <w:qFormat/>
    <w:rsid w:val="00147020"/>
    <w:rPr>
      <w:rFonts w:asciiTheme="minorHAnsi" w:eastAsiaTheme="minorHAnsi" w:hAnsiTheme="minorHAnsi" w:cstheme="minorBidi"/>
      <w:sz w:val="22"/>
      <w:szCs w:val="22"/>
    </w:rPr>
  </w:style>
  <w:style w:type="character" w:styleId="CommentReference">
    <w:name w:val="annotation reference"/>
    <w:basedOn w:val="DefaultParagraphFont"/>
    <w:uiPriority w:val="99"/>
    <w:rsid w:val="0022206D"/>
    <w:rPr>
      <w:sz w:val="16"/>
      <w:szCs w:val="16"/>
    </w:rPr>
  </w:style>
  <w:style w:type="paragraph" w:styleId="CommentText">
    <w:name w:val="annotation text"/>
    <w:basedOn w:val="Normal"/>
    <w:link w:val="CommentTextChar"/>
    <w:uiPriority w:val="99"/>
    <w:rsid w:val="0022206D"/>
    <w:rPr>
      <w:sz w:val="20"/>
      <w:szCs w:val="20"/>
    </w:rPr>
  </w:style>
  <w:style w:type="character" w:customStyle="1" w:styleId="CommentTextChar">
    <w:name w:val="Comment Text Char"/>
    <w:basedOn w:val="DefaultParagraphFont"/>
    <w:link w:val="CommentText"/>
    <w:uiPriority w:val="99"/>
    <w:rsid w:val="0022206D"/>
  </w:style>
  <w:style w:type="paragraph" w:styleId="CommentSubject">
    <w:name w:val="annotation subject"/>
    <w:basedOn w:val="CommentText"/>
    <w:next w:val="CommentText"/>
    <w:link w:val="CommentSubjectChar"/>
    <w:uiPriority w:val="99"/>
    <w:rsid w:val="0022206D"/>
    <w:rPr>
      <w:b/>
      <w:bCs/>
    </w:rPr>
  </w:style>
  <w:style w:type="character" w:customStyle="1" w:styleId="CommentSubjectChar">
    <w:name w:val="Comment Subject Char"/>
    <w:basedOn w:val="CommentTextChar"/>
    <w:link w:val="CommentSubject"/>
    <w:uiPriority w:val="99"/>
    <w:rsid w:val="0022206D"/>
    <w:rPr>
      <w:b/>
      <w:bCs/>
    </w:rPr>
  </w:style>
  <w:style w:type="paragraph" w:styleId="BodyTextIndent">
    <w:name w:val="Body Text Indent"/>
    <w:basedOn w:val="Normal"/>
    <w:link w:val="BodyTextIndentChar"/>
    <w:rsid w:val="00FD055B"/>
    <w:pPr>
      <w:spacing w:after="120"/>
      <w:ind w:left="360"/>
    </w:pPr>
  </w:style>
  <w:style w:type="character" w:customStyle="1" w:styleId="BodyTextIndentChar">
    <w:name w:val="Body Text Indent Char"/>
    <w:basedOn w:val="DefaultParagraphFont"/>
    <w:link w:val="BodyTextIndent"/>
    <w:rsid w:val="00FD055B"/>
  </w:style>
  <w:style w:type="paragraph" w:styleId="BodyText2">
    <w:name w:val="Body Text 2"/>
    <w:basedOn w:val="Normal"/>
    <w:link w:val="BodyText2Char"/>
    <w:rsid w:val="00FD055B"/>
    <w:pPr>
      <w:spacing w:after="120" w:line="480" w:lineRule="auto"/>
    </w:pPr>
  </w:style>
  <w:style w:type="character" w:customStyle="1" w:styleId="BodyText2Char">
    <w:name w:val="Body Text 2 Char"/>
    <w:basedOn w:val="DefaultParagraphFont"/>
    <w:link w:val="BodyText2"/>
    <w:rsid w:val="00FD055B"/>
  </w:style>
  <w:style w:type="paragraph" w:customStyle="1" w:styleId="Russpref">
    <w:name w:val="Russ pref"/>
    <w:basedOn w:val="NoSpacing"/>
    <w:uiPriority w:val="99"/>
    <w:rsid w:val="00FD055B"/>
    <w:rPr>
      <w:rFonts w:ascii="Times New Roman" w:eastAsia="Cambria" w:hAnsi="Times New Roman" w:cs="Times New Roman"/>
      <w:sz w:val="24"/>
      <w:szCs w:val="24"/>
      <w:lang w:val="en-GB"/>
    </w:rPr>
  </w:style>
  <w:style w:type="character" w:customStyle="1" w:styleId="Heading5Char">
    <w:name w:val="Heading 5 Char"/>
    <w:basedOn w:val="DefaultParagraphFont"/>
    <w:link w:val="Heading5"/>
    <w:rsid w:val="00156DFA"/>
    <w:rPr>
      <w:rFonts w:asciiTheme="majorHAnsi" w:eastAsiaTheme="majorEastAsia" w:hAnsiTheme="majorHAnsi" w:cstheme="majorBidi"/>
      <w:color w:val="243F60" w:themeColor="accent1" w:themeShade="7F"/>
    </w:rPr>
  </w:style>
  <w:style w:type="paragraph" w:styleId="BodyText">
    <w:name w:val="Body Text"/>
    <w:basedOn w:val="Normal"/>
    <w:link w:val="BodyTextChar"/>
    <w:rsid w:val="00BA521A"/>
    <w:pPr>
      <w:spacing w:after="120"/>
    </w:pPr>
  </w:style>
  <w:style w:type="character" w:customStyle="1" w:styleId="BodyTextChar">
    <w:name w:val="Body Text Char"/>
    <w:basedOn w:val="DefaultParagraphFont"/>
    <w:link w:val="BodyText"/>
    <w:rsid w:val="00BA521A"/>
  </w:style>
  <w:style w:type="paragraph" w:customStyle="1" w:styleId="EndNoteBibliographyTitle">
    <w:name w:val="EndNote Bibliography Title"/>
    <w:basedOn w:val="Normal"/>
    <w:link w:val="EndNoteBibliographyTitleChar"/>
    <w:rsid w:val="00446EF3"/>
    <w:pPr>
      <w:suppressAutoHyphens/>
      <w:spacing w:line="480" w:lineRule="auto"/>
      <w:jc w:val="center"/>
    </w:pPr>
    <w:rPr>
      <w:noProof/>
    </w:rPr>
  </w:style>
  <w:style w:type="character" w:customStyle="1" w:styleId="EndNoteBibliographyTitleChar">
    <w:name w:val="EndNote Bibliography Title Char"/>
    <w:link w:val="EndNoteBibliographyTitle"/>
    <w:rsid w:val="00446EF3"/>
    <w:rPr>
      <w:noProof/>
    </w:rPr>
  </w:style>
  <w:style w:type="paragraph" w:customStyle="1" w:styleId="EndNoteBibliography">
    <w:name w:val="EndNote Bibliography"/>
    <w:basedOn w:val="Normal"/>
    <w:link w:val="EndNoteBibliographyChar"/>
    <w:uiPriority w:val="99"/>
    <w:rsid w:val="00446EF3"/>
    <w:pPr>
      <w:suppressAutoHyphens/>
    </w:pPr>
    <w:rPr>
      <w:noProof/>
    </w:rPr>
  </w:style>
  <w:style w:type="character" w:customStyle="1" w:styleId="EndNoteBibliographyChar">
    <w:name w:val="EndNote Bibliography Char"/>
    <w:link w:val="EndNoteBibliography"/>
    <w:uiPriority w:val="99"/>
    <w:rsid w:val="00446EF3"/>
    <w:rPr>
      <w:noProof/>
    </w:rPr>
  </w:style>
  <w:style w:type="paragraph" w:styleId="Revision">
    <w:name w:val="Revision"/>
    <w:hidden/>
    <w:uiPriority w:val="99"/>
    <w:rsid w:val="0032750C"/>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D779AF"/>
    <w:rPr>
      <w:rFonts w:asciiTheme="minorHAnsi" w:eastAsiaTheme="minorHAnsi" w:hAnsiTheme="minorHAnsi" w:cstheme="minorBidi"/>
      <w:sz w:val="22"/>
      <w:szCs w:val="22"/>
    </w:rPr>
  </w:style>
  <w:style w:type="character" w:customStyle="1" w:styleId="normalchar">
    <w:name w:val="normal__char"/>
    <w:basedOn w:val="DefaultParagraphFont"/>
    <w:rsid w:val="004F64D2"/>
  </w:style>
  <w:style w:type="character" w:customStyle="1" w:styleId="Hyperlink2">
    <w:name w:val="Hyperlink2"/>
    <w:uiPriority w:val="99"/>
    <w:rsid w:val="00853D55"/>
    <w:rPr>
      <w:color w:val="0000FF"/>
      <w:sz w:val="20"/>
      <w:u w:val="single"/>
    </w:rPr>
  </w:style>
  <w:style w:type="paragraph" w:customStyle="1" w:styleId="DataField11pt-Single">
    <w:name w:val="Data Field 11pt-Single"/>
    <w:basedOn w:val="Normal"/>
    <w:rsid w:val="005E7D41"/>
    <w:pPr>
      <w:autoSpaceDE w:val="0"/>
      <w:autoSpaceDN w:val="0"/>
    </w:pPr>
    <w:rPr>
      <w:rFonts w:ascii="Arial" w:hAnsi="Arial" w:cs="Arial"/>
      <w:sz w:val="22"/>
      <w:szCs w:val="20"/>
    </w:rPr>
  </w:style>
  <w:style w:type="paragraph" w:customStyle="1" w:styleId="Header1">
    <w:name w:val="Header1"/>
    <w:uiPriority w:val="99"/>
    <w:rsid w:val="005E7D41"/>
    <w:pPr>
      <w:tabs>
        <w:tab w:val="center" w:pos="4320"/>
        <w:tab w:val="right" w:pos="8640"/>
      </w:tabs>
    </w:pPr>
    <w:rPr>
      <w:rFonts w:ascii="Times" w:eastAsia="ヒラギノ角ゴ Pro W3" w:hAnsi="Times"/>
      <w:color w:val="000000"/>
      <w:szCs w:val="20"/>
    </w:rPr>
  </w:style>
  <w:style w:type="character" w:customStyle="1" w:styleId="titles-source">
    <w:name w:val="titles-source"/>
    <w:uiPriority w:val="99"/>
    <w:rsid w:val="005E7D41"/>
    <w:rPr>
      <w:color w:val="000000"/>
      <w:sz w:val="20"/>
    </w:rPr>
  </w:style>
  <w:style w:type="character" w:customStyle="1" w:styleId="highlightedsearchterm">
    <w:name w:val="highlightedsearchterm"/>
    <w:basedOn w:val="DefaultParagraphFont"/>
    <w:rsid w:val="00614F51"/>
  </w:style>
  <w:style w:type="table" w:styleId="LightList">
    <w:name w:val="Light List"/>
    <w:basedOn w:val="TableNormal"/>
    <w:uiPriority w:val="61"/>
    <w:rsid w:val="00E6532B"/>
    <w:rPr>
      <w:rFonts w:asciiTheme="minorHAnsi" w:eastAsiaTheme="minorHAnsi" w:hAnsiTheme="minorHAnsi" w:cstheme="minorBid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name">
    <w:name w:val="name"/>
    <w:basedOn w:val="DefaultParagraphFont"/>
    <w:rsid w:val="003B05FD"/>
  </w:style>
  <w:style w:type="character" w:customStyle="1" w:styleId="cit-vol">
    <w:name w:val="cit-vol"/>
    <w:basedOn w:val="DefaultParagraphFont"/>
    <w:rsid w:val="003B05FD"/>
  </w:style>
  <w:style w:type="character" w:customStyle="1" w:styleId="cit-sep">
    <w:name w:val="cit-sep"/>
    <w:basedOn w:val="DefaultParagraphFont"/>
    <w:rsid w:val="003B05FD"/>
  </w:style>
  <w:style w:type="character" w:customStyle="1" w:styleId="cit-issue">
    <w:name w:val="cit-issue"/>
    <w:basedOn w:val="DefaultParagraphFont"/>
    <w:rsid w:val="003B05FD"/>
  </w:style>
  <w:style w:type="character" w:customStyle="1" w:styleId="cit-first-page">
    <w:name w:val="cit-first-page"/>
    <w:basedOn w:val="DefaultParagraphFont"/>
    <w:rsid w:val="003B05FD"/>
  </w:style>
  <w:style w:type="character" w:customStyle="1" w:styleId="cit-last-page">
    <w:name w:val="cit-last-page"/>
    <w:basedOn w:val="DefaultParagraphFont"/>
    <w:rsid w:val="003B05FD"/>
  </w:style>
  <w:style w:type="paragraph" w:customStyle="1" w:styleId="desc2">
    <w:name w:val="desc2"/>
    <w:basedOn w:val="Normal"/>
    <w:rsid w:val="00EE49CE"/>
    <w:rPr>
      <w:sz w:val="26"/>
      <w:szCs w:val="26"/>
    </w:rPr>
  </w:style>
  <w:style w:type="paragraph" w:customStyle="1" w:styleId="details1">
    <w:name w:val="details1"/>
    <w:basedOn w:val="Normal"/>
    <w:rsid w:val="00EE49CE"/>
    <w:rPr>
      <w:sz w:val="22"/>
      <w:szCs w:val="22"/>
    </w:rPr>
  </w:style>
  <w:style w:type="character" w:customStyle="1" w:styleId="jrnl">
    <w:name w:val="jrnl"/>
    <w:basedOn w:val="DefaultParagraphFont"/>
    <w:rsid w:val="00EE4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68150">
      <w:bodyDiv w:val="1"/>
      <w:marLeft w:val="0"/>
      <w:marRight w:val="0"/>
      <w:marTop w:val="0"/>
      <w:marBottom w:val="0"/>
      <w:divBdr>
        <w:top w:val="none" w:sz="0" w:space="0" w:color="auto"/>
        <w:left w:val="none" w:sz="0" w:space="0" w:color="auto"/>
        <w:bottom w:val="none" w:sz="0" w:space="0" w:color="auto"/>
        <w:right w:val="none" w:sz="0" w:space="0" w:color="auto"/>
      </w:divBdr>
    </w:div>
    <w:div w:id="139463361">
      <w:bodyDiv w:val="1"/>
      <w:marLeft w:val="0"/>
      <w:marRight w:val="0"/>
      <w:marTop w:val="0"/>
      <w:marBottom w:val="0"/>
      <w:divBdr>
        <w:top w:val="none" w:sz="0" w:space="0" w:color="auto"/>
        <w:left w:val="none" w:sz="0" w:space="0" w:color="auto"/>
        <w:bottom w:val="none" w:sz="0" w:space="0" w:color="auto"/>
        <w:right w:val="none" w:sz="0" w:space="0" w:color="auto"/>
      </w:divBdr>
    </w:div>
    <w:div w:id="185100043">
      <w:bodyDiv w:val="1"/>
      <w:marLeft w:val="0"/>
      <w:marRight w:val="0"/>
      <w:marTop w:val="0"/>
      <w:marBottom w:val="0"/>
      <w:divBdr>
        <w:top w:val="none" w:sz="0" w:space="0" w:color="auto"/>
        <w:left w:val="none" w:sz="0" w:space="0" w:color="auto"/>
        <w:bottom w:val="none" w:sz="0" w:space="0" w:color="auto"/>
        <w:right w:val="none" w:sz="0" w:space="0" w:color="auto"/>
      </w:divBdr>
    </w:div>
    <w:div w:id="235214307">
      <w:bodyDiv w:val="1"/>
      <w:marLeft w:val="0"/>
      <w:marRight w:val="0"/>
      <w:marTop w:val="0"/>
      <w:marBottom w:val="0"/>
      <w:divBdr>
        <w:top w:val="none" w:sz="0" w:space="0" w:color="auto"/>
        <w:left w:val="none" w:sz="0" w:space="0" w:color="auto"/>
        <w:bottom w:val="none" w:sz="0" w:space="0" w:color="auto"/>
        <w:right w:val="none" w:sz="0" w:space="0" w:color="auto"/>
      </w:divBdr>
    </w:div>
    <w:div w:id="296645840">
      <w:bodyDiv w:val="1"/>
      <w:marLeft w:val="0"/>
      <w:marRight w:val="0"/>
      <w:marTop w:val="0"/>
      <w:marBottom w:val="0"/>
      <w:divBdr>
        <w:top w:val="none" w:sz="0" w:space="0" w:color="auto"/>
        <w:left w:val="none" w:sz="0" w:space="0" w:color="auto"/>
        <w:bottom w:val="none" w:sz="0" w:space="0" w:color="auto"/>
        <w:right w:val="none" w:sz="0" w:space="0" w:color="auto"/>
      </w:divBdr>
    </w:div>
    <w:div w:id="836265851">
      <w:bodyDiv w:val="1"/>
      <w:marLeft w:val="0"/>
      <w:marRight w:val="0"/>
      <w:marTop w:val="0"/>
      <w:marBottom w:val="0"/>
      <w:divBdr>
        <w:top w:val="none" w:sz="0" w:space="0" w:color="auto"/>
        <w:left w:val="none" w:sz="0" w:space="0" w:color="auto"/>
        <w:bottom w:val="none" w:sz="0" w:space="0" w:color="auto"/>
        <w:right w:val="none" w:sz="0" w:space="0" w:color="auto"/>
      </w:divBdr>
    </w:div>
    <w:div w:id="1108937096">
      <w:bodyDiv w:val="1"/>
      <w:marLeft w:val="0"/>
      <w:marRight w:val="0"/>
      <w:marTop w:val="0"/>
      <w:marBottom w:val="0"/>
      <w:divBdr>
        <w:top w:val="none" w:sz="0" w:space="0" w:color="auto"/>
        <w:left w:val="none" w:sz="0" w:space="0" w:color="auto"/>
        <w:bottom w:val="none" w:sz="0" w:space="0" w:color="auto"/>
        <w:right w:val="none" w:sz="0" w:space="0" w:color="auto"/>
      </w:divBdr>
    </w:div>
    <w:div w:id="1419592587">
      <w:bodyDiv w:val="1"/>
      <w:marLeft w:val="0"/>
      <w:marRight w:val="0"/>
      <w:marTop w:val="0"/>
      <w:marBottom w:val="0"/>
      <w:divBdr>
        <w:top w:val="none" w:sz="0" w:space="0" w:color="auto"/>
        <w:left w:val="none" w:sz="0" w:space="0" w:color="auto"/>
        <w:bottom w:val="none" w:sz="0" w:space="0" w:color="auto"/>
        <w:right w:val="none" w:sz="0" w:space="0" w:color="auto"/>
      </w:divBdr>
    </w:div>
    <w:div w:id="1551304819">
      <w:bodyDiv w:val="1"/>
      <w:marLeft w:val="0"/>
      <w:marRight w:val="0"/>
      <w:marTop w:val="0"/>
      <w:marBottom w:val="0"/>
      <w:divBdr>
        <w:top w:val="none" w:sz="0" w:space="0" w:color="auto"/>
        <w:left w:val="none" w:sz="0" w:space="0" w:color="auto"/>
        <w:bottom w:val="none" w:sz="0" w:space="0" w:color="auto"/>
        <w:right w:val="none" w:sz="0" w:space="0" w:color="auto"/>
      </w:divBdr>
    </w:div>
    <w:div w:id="1644388555">
      <w:bodyDiv w:val="1"/>
      <w:marLeft w:val="0"/>
      <w:marRight w:val="0"/>
      <w:marTop w:val="0"/>
      <w:marBottom w:val="0"/>
      <w:divBdr>
        <w:top w:val="none" w:sz="0" w:space="0" w:color="auto"/>
        <w:left w:val="none" w:sz="0" w:space="0" w:color="auto"/>
        <w:bottom w:val="none" w:sz="0" w:space="0" w:color="auto"/>
        <w:right w:val="none" w:sz="0" w:space="0" w:color="auto"/>
      </w:divBdr>
    </w:div>
    <w:div w:id="1676763516">
      <w:bodyDiv w:val="1"/>
      <w:marLeft w:val="0"/>
      <w:marRight w:val="0"/>
      <w:marTop w:val="0"/>
      <w:marBottom w:val="0"/>
      <w:divBdr>
        <w:top w:val="none" w:sz="0" w:space="0" w:color="auto"/>
        <w:left w:val="none" w:sz="0" w:space="0" w:color="auto"/>
        <w:bottom w:val="none" w:sz="0" w:space="0" w:color="auto"/>
        <w:right w:val="none" w:sz="0" w:space="0" w:color="auto"/>
      </w:divBdr>
    </w:div>
    <w:div w:id="1700156323">
      <w:bodyDiv w:val="1"/>
      <w:marLeft w:val="0"/>
      <w:marRight w:val="0"/>
      <w:marTop w:val="0"/>
      <w:marBottom w:val="0"/>
      <w:divBdr>
        <w:top w:val="none" w:sz="0" w:space="0" w:color="auto"/>
        <w:left w:val="none" w:sz="0" w:space="0" w:color="auto"/>
        <w:bottom w:val="none" w:sz="0" w:space="0" w:color="auto"/>
        <w:right w:val="none" w:sz="0" w:space="0" w:color="auto"/>
      </w:divBdr>
    </w:div>
    <w:div w:id="1820225199">
      <w:bodyDiv w:val="1"/>
      <w:marLeft w:val="0"/>
      <w:marRight w:val="0"/>
      <w:marTop w:val="0"/>
      <w:marBottom w:val="0"/>
      <w:divBdr>
        <w:top w:val="none" w:sz="0" w:space="0" w:color="auto"/>
        <w:left w:val="none" w:sz="0" w:space="0" w:color="auto"/>
        <w:bottom w:val="none" w:sz="0" w:space="0" w:color="auto"/>
        <w:right w:val="none" w:sz="0" w:space="0" w:color="auto"/>
      </w:divBdr>
    </w:div>
    <w:div w:id="1830831183">
      <w:bodyDiv w:val="1"/>
      <w:marLeft w:val="0"/>
      <w:marRight w:val="0"/>
      <w:marTop w:val="0"/>
      <w:marBottom w:val="0"/>
      <w:divBdr>
        <w:top w:val="none" w:sz="0" w:space="0" w:color="auto"/>
        <w:left w:val="none" w:sz="0" w:space="0" w:color="auto"/>
        <w:bottom w:val="none" w:sz="0" w:space="0" w:color="auto"/>
        <w:right w:val="none" w:sz="0" w:space="0" w:color="auto"/>
      </w:divBdr>
    </w:div>
    <w:div w:id="1944334782">
      <w:bodyDiv w:val="1"/>
      <w:marLeft w:val="0"/>
      <w:marRight w:val="0"/>
      <w:marTop w:val="0"/>
      <w:marBottom w:val="0"/>
      <w:divBdr>
        <w:top w:val="none" w:sz="0" w:space="0" w:color="auto"/>
        <w:left w:val="none" w:sz="0" w:space="0" w:color="auto"/>
        <w:bottom w:val="none" w:sz="0" w:space="0" w:color="auto"/>
        <w:right w:val="none" w:sz="0" w:space="0" w:color="auto"/>
      </w:divBdr>
    </w:div>
    <w:div w:id="2072846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A73C5-D409-42E3-8979-EBCDDE959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12</Pages>
  <Words>40622</Words>
  <Characters>231552</Characters>
  <Application>Microsoft Office Word</Application>
  <DocSecurity>0</DocSecurity>
  <Lines>1929</Lines>
  <Paragraphs>543</Paragraphs>
  <ScaleCrop>false</ScaleCrop>
  <HeadingPairs>
    <vt:vector size="2" baseType="variant">
      <vt:variant>
        <vt:lpstr>Title</vt:lpstr>
      </vt:variant>
      <vt:variant>
        <vt:i4>1</vt:i4>
      </vt:variant>
    </vt:vector>
  </HeadingPairs>
  <TitlesOfParts>
    <vt:vector size="1" baseType="lpstr">
      <vt:lpstr>TITLE</vt:lpstr>
    </vt:vector>
  </TitlesOfParts>
  <Company>Microsoft</Company>
  <LinksUpToDate>false</LinksUpToDate>
  <CharactersWithSpaces>271631</CharactersWithSpaces>
  <SharedDoc>false</SharedDoc>
  <HLinks>
    <vt:vector size="444" baseType="variant">
      <vt:variant>
        <vt:i4>4194362</vt:i4>
      </vt:variant>
      <vt:variant>
        <vt:i4>366</vt:i4>
      </vt:variant>
      <vt:variant>
        <vt:i4>0</vt:i4>
      </vt:variant>
      <vt:variant>
        <vt:i4>5</vt:i4>
      </vt:variant>
      <vt:variant>
        <vt:lpwstr/>
      </vt:variant>
      <vt:variant>
        <vt:lpwstr>_ENREF_11</vt:lpwstr>
      </vt:variant>
      <vt:variant>
        <vt:i4>4522042</vt:i4>
      </vt:variant>
      <vt:variant>
        <vt:i4>360</vt:i4>
      </vt:variant>
      <vt:variant>
        <vt:i4>0</vt:i4>
      </vt:variant>
      <vt:variant>
        <vt:i4>5</vt:i4>
      </vt:variant>
      <vt:variant>
        <vt:lpwstr/>
      </vt:variant>
      <vt:variant>
        <vt:lpwstr>_ENREF_41</vt:lpwstr>
      </vt:variant>
      <vt:variant>
        <vt:i4>4194367</vt:i4>
      </vt:variant>
      <vt:variant>
        <vt:i4>354</vt:i4>
      </vt:variant>
      <vt:variant>
        <vt:i4>0</vt:i4>
      </vt:variant>
      <vt:variant>
        <vt:i4>5</vt:i4>
      </vt:variant>
      <vt:variant>
        <vt:lpwstr/>
      </vt:variant>
      <vt:variant>
        <vt:lpwstr>_ENREF_14</vt:lpwstr>
      </vt:variant>
      <vt:variant>
        <vt:i4>4325427</vt:i4>
      </vt:variant>
      <vt:variant>
        <vt:i4>348</vt:i4>
      </vt:variant>
      <vt:variant>
        <vt:i4>0</vt:i4>
      </vt:variant>
      <vt:variant>
        <vt:i4>5</vt:i4>
      </vt:variant>
      <vt:variant>
        <vt:lpwstr/>
      </vt:variant>
      <vt:variant>
        <vt:lpwstr>_ENREF_38</vt:lpwstr>
      </vt:variant>
      <vt:variant>
        <vt:i4>4390968</vt:i4>
      </vt:variant>
      <vt:variant>
        <vt:i4>342</vt:i4>
      </vt:variant>
      <vt:variant>
        <vt:i4>0</vt:i4>
      </vt:variant>
      <vt:variant>
        <vt:i4>5</vt:i4>
      </vt:variant>
      <vt:variant>
        <vt:lpwstr/>
      </vt:variant>
      <vt:variant>
        <vt:lpwstr>_ENREF_23</vt:lpwstr>
      </vt:variant>
      <vt:variant>
        <vt:i4>4390969</vt:i4>
      </vt:variant>
      <vt:variant>
        <vt:i4>336</vt:i4>
      </vt:variant>
      <vt:variant>
        <vt:i4>0</vt:i4>
      </vt:variant>
      <vt:variant>
        <vt:i4>5</vt:i4>
      </vt:variant>
      <vt:variant>
        <vt:lpwstr/>
      </vt:variant>
      <vt:variant>
        <vt:lpwstr>_ENREF_22</vt:lpwstr>
      </vt:variant>
      <vt:variant>
        <vt:i4>4390962</vt:i4>
      </vt:variant>
      <vt:variant>
        <vt:i4>330</vt:i4>
      </vt:variant>
      <vt:variant>
        <vt:i4>0</vt:i4>
      </vt:variant>
      <vt:variant>
        <vt:i4>5</vt:i4>
      </vt:variant>
      <vt:variant>
        <vt:lpwstr/>
      </vt:variant>
      <vt:variant>
        <vt:lpwstr>_ENREF_29</vt:lpwstr>
      </vt:variant>
      <vt:variant>
        <vt:i4>4522043</vt:i4>
      </vt:variant>
      <vt:variant>
        <vt:i4>324</vt:i4>
      </vt:variant>
      <vt:variant>
        <vt:i4>0</vt:i4>
      </vt:variant>
      <vt:variant>
        <vt:i4>5</vt:i4>
      </vt:variant>
      <vt:variant>
        <vt:lpwstr/>
      </vt:variant>
      <vt:variant>
        <vt:lpwstr>_ENREF_40</vt:lpwstr>
      </vt:variant>
      <vt:variant>
        <vt:i4>4390975</vt:i4>
      </vt:variant>
      <vt:variant>
        <vt:i4>321</vt:i4>
      </vt:variant>
      <vt:variant>
        <vt:i4>0</vt:i4>
      </vt:variant>
      <vt:variant>
        <vt:i4>5</vt:i4>
      </vt:variant>
      <vt:variant>
        <vt:lpwstr/>
      </vt:variant>
      <vt:variant>
        <vt:lpwstr>_ENREF_24</vt:lpwstr>
      </vt:variant>
      <vt:variant>
        <vt:i4>4390968</vt:i4>
      </vt:variant>
      <vt:variant>
        <vt:i4>318</vt:i4>
      </vt:variant>
      <vt:variant>
        <vt:i4>0</vt:i4>
      </vt:variant>
      <vt:variant>
        <vt:i4>5</vt:i4>
      </vt:variant>
      <vt:variant>
        <vt:lpwstr/>
      </vt:variant>
      <vt:variant>
        <vt:lpwstr>_ENREF_23</vt:lpwstr>
      </vt:variant>
      <vt:variant>
        <vt:i4>4194360</vt:i4>
      </vt:variant>
      <vt:variant>
        <vt:i4>310</vt:i4>
      </vt:variant>
      <vt:variant>
        <vt:i4>0</vt:i4>
      </vt:variant>
      <vt:variant>
        <vt:i4>5</vt:i4>
      </vt:variant>
      <vt:variant>
        <vt:lpwstr/>
      </vt:variant>
      <vt:variant>
        <vt:lpwstr>_ENREF_13</vt:lpwstr>
      </vt:variant>
      <vt:variant>
        <vt:i4>4390973</vt:i4>
      </vt:variant>
      <vt:variant>
        <vt:i4>304</vt:i4>
      </vt:variant>
      <vt:variant>
        <vt:i4>0</vt:i4>
      </vt:variant>
      <vt:variant>
        <vt:i4>5</vt:i4>
      </vt:variant>
      <vt:variant>
        <vt:lpwstr/>
      </vt:variant>
      <vt:variant>
        <vt:lpwstr>_ENREF_26</vt:lpwstr>
      </vt:variant>
      <vt:variant>
        <vt:i4>4390974</vt:i4>
      </vt:variant>
      <vt:variant>
        <vt:i4>301</vt:i4>
      </vt:variant>
      <vt:variant>
        <vt:i4>0</vt:i4>
      </vt:variant>
      <vt:variant>
        <vt:i4>5</vt:i4>
      </vt:variant>
      <vt:variant>
        <vt:lpwstr/>
      </vt:variant>
      <vt:variant>
        <vt:lpwstr>_ENREF_25</vt:lpwstr>
      </vt:variant>
      <vt:variant>
        <vt:i4>4390971</vt:i4>
      </vt:variant>
      <vt:variant>
        <vt:i4>298</vt:i4>
      </vt:variant>
      <vt:variant>
        <vt:i4>0</vt:i4>
      </vt:variant>
      <vt:variant>
        <vt:i4>5</vt:i4>
      </vt:variant>
      <vt:variant>
        <vt:lpwstr/>
      </vt:variant>
      <vt:variant>
        <vt:lpwstr>_ENREF_20</vt:lpwstr>
      </vt:variant>
      <vt:variant>
        <vt:i4>4521995</vt:i4>
      </vt:variant>
      <vt:variant>
        <vt:i4>295</vt:i4>
      </vt:variant>
      <vt:variant>
        <vt:i4>0</vt:i4>
      </vt:variant>
      <vt:variant>
        <vt:i4>5</vt:i4>
      </vt:variant>
      <vt:variant>
        <vt:lpwstr/>
      </vt:variant>
      <vt:variant>
        <vt:lpwstr>_ENREF_4</vt:lpwstr>
      </vt:variant>
      <vt:variant>
        <vt:i4>4390963</vt:i4>
      </vt:variant>
      <vt:variant>
        <vt:i4>287</vt:i4>
      </vt:variant>
      <vt:variant>
        <vt:i4>0</vt:i4>
      </vt:variant>
      <vt:variant>
        <vt:i4>5</vt:i4>
      </vt:variant>
      <vt:variant>
        <vt:lpwstr/>
      </vt:variant>
      <vt:variant>
        <vt:lpwstr>_ENREF_28</vt:lpwstr>
      </vt:variant>
      <vt:variant>
        <vt:i4>4390970</vt:i4>
      </vt:variant>
      <vt:variant>
        <vt:i4>284</vt:i4>
      </vt:variant>
      <vt:variant>
        <vt:i4>0</vt:i4>
      </vt:variant>
      <vt:variant>
        <vt:i4>5</vt:i4>
      </vt:variant>
      <vt:variant>
        <vt:lpwstr/>
      </vt:variant>
      <vt:variant>
        <vt:lpwstr>_ENREF_21</vt:lpwstr>
      </vt:variant>
      <vt:variant>
        <vt:i4>4194360</vt:i4>
      </vt:variant>
      <vt:variant>
        <vt:i4>281</vt:i4>
      </vt:variant>
      <vt:variant>
        <vt:i4>0</vt:i4>
      </vt:variant>
      <vt:variant>
        <vt:i4>5</vt:i4>
      </vt:variant>
      <vt:variant>
        <vt:lpwstr/>
      </vt:variant>
      <vt:variant>
        <vt:lpwstr>_ENREF_13</vt:lpwstr>
      </vt:variant>
      <vt:variant>
        <vt:i4>4456459</vt:i4>
      </vt:variant>
      <vt:variant>
        <vt:i4>278</vt:i4>
      </vt:variant>
      <vt:variant>
        <vt:i4>0</vt:i4>
      </vt:variant>
      <vt:variant>
        <vt:i4>5</vt:i4>
      </vt:variant>
      <vt:variant>
        <vt:lpwstr/>
      </vt:variant>
      <vt:variant>
        <vt:lpwstr>_ENREF_5</vt:lpwstr>
      </vt:variant>
      <vt:variant>
        <vt:i4>4194315</vt:i4>
      </vt:variant>
      <vt:variant>
        <vt:i4>275</vt:i4>
      </vt:variant>
      <vt:variant>
        <vt:i4>0</vt:i4>
      </vt:variant>
      <vt:variant>
        <vt:i4>5</vt:i4>
      </vt:variant>
      <vt:variant>
        <vt:lpwstr/>
      </vt:variant>
      <vt:variant>
        <vt:lpwstr>_ENREF_1</vt:lpwstr>
      </vt:variant>
      <vt:variant>
        <vt:i4>4325433</vt:i4>
      </vt:variant>
      <vt:variant>
        <vt:i4>267</vt:i4>
      </vt:variant>
      <vt:variant>
        <vt:i4>0</vt:i4>
      </vt:variant>
      <vt:variant>
        <vt:i4>5</vt:i4>
      </vt:variant>
      <vt:variant>
        <vt:lpwstr/>
      </vt:variant>
      <vt:variant>
        <vt:lpwstr>_ENREF_32</vt:lpwstr>
      </vt:variant>
      <vt:variant>
        <vt:i4>4194355</vt:i4>
      </vt:variant>
      <vt:variant>
        <vt:i4>264</vt:i4>
      </vt:variant>
      <vt:variant>
        <vt:i4>0</vt:i4>
      </vt:variant>
      <vt:variant>
        <vt:i4>5</vt:i4>
      </vt:variant>
      <vt:variant>
        <vt:lpwstr/>
      </vt:variant>
      <vt:variant>
        <vt:lpwstr>_ENREF_18</vt:lpwstr>
      </vt:variant>
      <vt:variant>
        <vt:i4>4718603</vt:i4>
      </vt:variant>
      <vt:variant>
        <vt:i4>261</vt:i4>
      </vt:variant>
      <vt:variant>
        <vt:i4>0</vt:i4>
      </vt:variant>
      <vt:variant>
        <vt:i4>5</vt:i4>
      </vt:variant>
      <vt:variant>
        <vt:lpwstr/>
      </vt:variant>
      <vt:variant>
        <vt:lpwstr>_ENREF_9</vt:lpwstr>
      </vt:variant>
      <vt:variant>
        <vt:i4>4325426</vt:i4>
      </vt:variant>
      <vt:variant>
        <vt:i4>253</vt:i4>
      </vt:variant>
      <vt:variant>
        <vt:i4>0</vt:i4>
      </vt:variant>
      <vt:variant>
        <vt:i4>5</vt:i4>
      </vt:variant>
      <vt:variant>
        <vt:lpwstr/>
      </vt:variant>
      <vt:variant>
        <vt:lpwstr>_ENREF_39</vt:lpwstr>
      </vt:variant>
      <vt:variant>
        <vt:i4>4325434</vt:i4>
      </vt:variant>
      <vt:variant>
        <vt:i4>250</vt:i4>
      </vt:variant>
      <vt:variant>
        <vt:i4>0</vt:i4>
      </vt:variant>
      <vt:variant>
        <vt:i4>5</vt:i4>
      </vt:variant>
      <vt:variant>
        <vt:lpwstr/>
      </vt:variant>
      <vt:variant>
        <vt:lpwstr>_ENREF_31</vt:lpwstr>
      </vt:variant>
      <vt:variant>
        <vt:i4>4325435</vt:i4>
      </vt:variant>
      <vt:variant>
        <vt:i4>247</vt:i4>
      </vt:variant>
      <vt:variant>
        <vt:i4>0</vt:i4>
      </vt:variant>
      <vt:variant>
        <vt:i4>5</vt:i4>
      </vt:variant>
      <vt:variant>
        <vt:lpwstr/>
      </vt:variant>
      <vt:variant>
        <vt:lpwstr>_ENREF_30</vt:lpwstr>
      </vt:variant>
      <vt:variant>
        <vt:i4>4390972</vt:i4>
      </vt:variant>
      <vt:variant>
        <vt:i4>244</vt:i4>
      </vt:variant>
      <vt:variant>
        <vt:i4>0</vt:i4>
      </vt:variant>
      <vt:variant>
        <vt:i4>5</vt:i4>
      </vt:variant>
      <vt:variant>
        <vt:lpwstr/>
      </vt:variant>
      <vt:variant>
        <vt:lpwstr>_ENREF_27</vt:lpwstr>
      </vt:variant>
      <vt:variant>
        <vt:i4>4194354</vt:i4>
      </vt:variant>
      <vt:variant>
        <vt:i4>241</vt:i4>
      </vt:variant>
      <vt:variant>
        <vt:i4>0</vt:i4>
      </vt:variant>
      <vt:variant>
        <vt:i4>5</vt:i4>
      </vt:variant>
      <vt:variant>
        <vt:lpwstr/>
      </vt:variant>
      <vt:variant>
        <vt:lpwstr>_ENREF_19</vt:lpwstr>
      </vt:variant>
      <vt:variant>
        <vt:i4>4194365</vt:i4>
      </vt:variant>
      <vt:variant>
        <vt:i4>238</vt:i4>
      </vt:variant>
      <vt:variant>
        <vt:i4>0</vt:i4>
      </vt:variant>
      <vt:variant>
        <vt:i4>5</vt:i4>
      </vt:variant>
      <vt:variant>
        <vt:lpwstr/>
      </vt:variant>
      <vt:variant>
        <vt:lpwstr>_ENREF_16</vt:lpwstr>
      </vt:variant>
      <vt:variant>
        <vt:i4>4587531</vt:i4>
      </vt:variant>
      <vt:variant>
        <vt:i4>235</vt:i4>
      </vt:variant>
      <vt:variant>
        <vt:i4>0</vt:i4>
      </vt:variant>
      <vt:variant>
        <vt:i4>5</vt:i4>
      </vt:variant>
      <vt:variant>
        <vt:lpwstr/>
      </vt:variant>
      <vt:variant>
        <vt:lpwstr>_ENREF_7</vt:lpwstr>
      </vt:variant>
      <vt:variant>
        <vt:i4>4390923</vt:i4>
      </vt:variant>
      <vt:variant>
        <vt:i4>232</vt:i4>
      </vt:variant>
      <vt:variant>
        <vt:i4>0</vt:i4>
      </vt:variant>
      <vt:variant>
        <vt:i4>5</vt:i4>
      </vt:variant>
      <vt:variant>
        <vt:lpwstr/>
      </vt:variant>
      <vt:variant>
        <vt:lpwstr>_ENREF_2</vt:lpwstr>
      </vt:variant>
      <vt:variant>
        <vt:i4>4194363</vt:i4>
      </vt:variant>
      <vt:variant>
        <vt:i4>224</vt:i4>
      </vt:variant>
      <vt:variant>
        <vt:i4>0</vt:i4>
      </vt:variant>
      <vt:variant>
        <vt:i4>5</vt:i4>
      </vt:variant>
      <vt:variant>
        <vt:lpwstr/>
      </vt:variant>
      <vt:variant>
        <vt:lpwstr>_ENREF_10</vt:lpwstr>
      </vt:variant>
      <vt:variant>
        <vt:i4>4194363</vt:i4>
      </vt:variant>
      <vt:variant>
        <vt:i4>218</vt:i4>
      </vt:variant>
      <vt:variant>
        <vt:i4>0</vt:i4>
      </vt:variant>
      <vt:variant>
        <vt:i4>5</vt:i4>
      </vt:variant>
      <vt:variant>
        <vt:lpwstr/>
      </vt:variant>
      <vt:variant>
        <vt:lpwstr>_ENREF_10</vt:lpwstr>
      </vt:variant>
      <vt:variant>
        <vt:i4>4194361</vt:i4>
      </vt:variant>
      <vt:variant>
        <vt:i4>212</vt:i4>
      </vt:variant>
      <vt:variant>
        <vt:i4>0</vt:i4>
      </vt:variant>
      <vt:variant>
        <vt:i4>5</vt:i4>
      </vt:variant>
      <vt:variant>
        <vt:lpwstr/>
      </vt:variant>
      <vt:variant>
        <vt:lpwstr>_ENREF_12</vt:lpwstr>
      </vt:variant>
      <vt:variant>
        <vt:i4>4653067</vt:i4>
      </vt:variant>
      <vt:variant>
        <vt:i4>206</vt:i4>
      </vt:variant>
      <vt:variant>
        <vt:i4>0</vt:i4>
      </vt:variant>
      <vt:variant>
        <vt:i4>5</vt:i4>
      </vt:variant>
      <vt:variant>
        <vt:lpwstr/>
      </vt:variant>
      <vt:variant>
        <vt:lpwstr>_ENREF_6</vt:lpwstr>
      </vt:variant>
      <vt:variant>
        <vt:i4>4325432</vt:i4>
      </vt:variant>
      <vt:variant>
        <vt:i4>200</vt:i4>
      </vt:variant>
      <vt:variant>
        <vt:i4>0</vt:i4>
      </vt:variant>
      <vt:variant>
        <vt:i4>5</vt:i4>
      </vt:variant>
      <vt:variant>
        <vt:lpwstr/>
      </vt:variant>
      <vt:variant>
        <vt:lpwstr>_ENREF_33</vt:lpwstr>
      </vt:variant>
      <vt:variant>
        <vt:i4>4784139</vt:i4>
      </vt:variant>
      <vt:variant>
        <vt:i4>194</vt:i4>
      </vt:variant>
      <vt:variant>
        <vt:i4>0</vt:i4>
      </vt:variant>
      <vt:variant>
        <vt:i4>5</vt:i4>
      </vt:variant>
      <vt:variant>
        <vt:lpwstr/>
      </vt:variant>
      <vt:variant>
        <vt:lpwstr>_ENREF_8</vt:lpwstr>
      </vt:variant>
      <vt:variant>
        <vt:i4>4390963</vt:i4>
      </vt:variant>
      <vt:variant>
        <vt:i4>188</vt:i4>
      </vt:variant>
      <vt:variant>
        <vt:i4>0</vt:i4>
      </vt:variant>
      <vt:variant>
        <vt:i4>5</vt:i4>
      </vt:variant>
      <vt:variant>
        <vt:lpwstr/>
      </vt:variant>
      <vt:variant>
        <vt:lpwstr>_ENREF_28</vt:lpwstr>
      </vt:variant>
      <vt:variant>
        <vt:i4>4390970</vt:i4>
      </vt:variant>
      <vt:variant>
        <vt:i4>185</vt:i4>
      </vt:variant>
      <vt:variant>
        <vt:i4>0</vt:i4>
      </vt:variant>
      <vt:variant>
        <vt:i4>5</vt:i4>
      </vt:variant>
      <vt:variant>
        <vt:lpwstr/>
      </vt:variant>
      <vt:variant>
        <vt:lpwstr>_ENREF_21</vt:lpwstr>
      </vt:variant>
      <vt:variant>
        <vt:i4>4194360</vt:i4>
      </vt:variant>
      <vt:variant>
        <vt:i4>182</vt:i4>
      </vt:variant>
      <vt:variant>
        <vt:i4>0</vt:i4>
      </vt:variant>
      <vt:variant>
        <vt:i4>5</vt:i4>
      </vt:variant>
      <vt:variant>
        <vt:lpwstr/>
      </vt:variant>
      <vt:variant>
        <vt:lpwstr>_ENREF_13</vt:lpwstr>
      </vt:variant>
      <vt:variant>
        <vt:i4>4456459</vt:i4>
      </vt:variant>
      <vt:variant>
        <vt:i4>179</vt:i4>
      </vt:variant>
      <vt:variant>
        <vt:i4>0</vt:i4>
      </vt:variant>
      <vt:variant>
        <vt:i4>5</vt:i4>
      </vt:variant>
      <vt:variant>
        <vt:lpwstr/>
      </vt:variant>
      <vt:variant>
        <vt:lpwstr>_ENREF_5</vt:lpwstr>
      </vt:variant>
      <vt:variant>
        <vt:i4>4194315</vt:i4>
      </vt:variant>
      <vt:variant>
        <vt:i4>176</vt:i4>
      </vt:variant>
      <vt:variant>
        <vt:i4>0</vt:i4>
      </vt:variant>
      <vt:variant>
        <vt:i4>5</vt:i4>
      </vt:variant>
      <vt:variant>
        <vt:lpwstr/>
      </vt:variant>
      <vt:variant>
        <vt:lpwstr>_ENREF_1</vt:lpwstr>
      </vt:variant>
      <vt:variant>
        <vt:i4>4390973</vt:i4>
      </vt:variant>
      <vt:variant>
        <vt:i4>168</vt:i4>
      </vt:variant>
      <vt:variant>
        <vt:i4>0</vt:i4>
      </vt:variant>
      <vt:variant>
        <vt:i4>5</vt:i4>
      </vt:variant>
      <vt:variant>
        <vt:lpwstr/>
      </vt:variant>
      <vt:variant>
        <vt:lpwstr>_ENREF_26</vt:lpwstr>
      </vt:variant>
      <vt:variant>
        <vt:i4>4390974</vt:i4>
      </vt:variant>
      <vt:variant>
        <vt:i4>165</vt:i4>
      </vt:variant>
      <vt:variant>
        <vt:i4>0</vt:i4>
      </vt:variant>
      <vt:variant>
        <vt:i4>5</vt:i4>
      </vt:variant>
      <vt:variant>
        <vt:lpwstr/>
      </vt:variant>
      <vt:variant>
        <vt:lpwstr>_ENREF_25</vt:lpwstr>
      </vt:variant>
      <vt:variant>
        <vt:i4>4390971</vt:i4>
      </vt:variant>
      <vt:variant>
        <vt:i4>162</vt:i4>
      </vt:variant>
      <vt:variant>
        <vt:i4>0</vt:i4>
      </vt:variant>
      <vt:variant>
        <vt:i4>5</vt:i4>
      </vt:variant>
      <vt:variant>
        <vt:lpwstr/>
      </vt:variant>
      <vt:variant>
        <vt:lpwstr>_ENREF_20</vt:lpwstr>
      </vt:variant>
      <vt:variant>
        <vt:i4>4521995</vt:i4>
      </vt:variant>
      <vt:variant>
        <vt:i4>159</vt:i4>
      </vt:variant>
      <vt:variant>
        <vt:i4>0</vt:i4>
      </vt:variant>
      <vt:variant>
        <vt:i4>5</vt:i4>
      </vt:variant>
      <vt:variant>
        <vt:lpwstr/>
      </vt:variant>
      <vt:variant>
        <vt:lpwstr>_ENREF_4</vt:lpwstr>
      </vt:variant>
      <vt:variant>
        <vt:i4>4390973</vt:i4>
      </vt:variant>
      <vt:variant>
        <vt:i4>151</vt:i4>
      </vt:variant>
      <vt:variant>
        <vt:i4>0</vt:i4>
      </vt:variant>
      <vt:variant>
        <vt:i4>5</vt:i4>
      </vt:variant>
      <vt:variant>
        <vt:lpwstr/>
      </vt:variant>
      <vt:variant>
        <vt:lpwstr>_ENREF_26</vt:lpwstr>
      </vt:variant>
      <vt:variant>
        <vt:i4>4390974</vt:i4>
      </vt:variant>
      <vt:variant>
        <vt:i4>148</vt:i4>
      </vt:variant>
      <vt:variant>
        <vt:i4>0</vt:i4>
      </vt:variant>
      <vt:variant>
        <vt:i4>5</vt:i4>
      </vt:variant>
      <vt:variant>
        <vt:lpwstr/>
      </vt:variant>
      <vt:variant>
        <vt:lpwstr>_ENREF_25</vt:lpwstr>
      </vt:variant>
      <vt:variant>
        <vt:i4>4194315</vt:i4>
      </vt:variant>
      <vt:variant>
        <vt:i4>145</vt:i4>
      </vt:variant>
      <vt:variant>
        <vt:i4>0</vt:i4>
      </vt:variant>
      <vt:variant>
        <vt:i4>5</vt:i4>
      </vt:variant>
      <vt:variant>
        <vt:lpwstr/>
      </vt:variant>
      <vt:variant>
        <vt:lpwstr>_ENREF_1</vt:lpwstr>
      </vt:variant>
      <vt:variant>
        <vt:i4>4390970</vt:i4>
      </vt:variant>
      <vt:variant>
        <vt:i4>137</vt:i4>
      </vt:variant>
      <vt:variant>
        <vt:i4>0</vt:i4>
      </vt:variant>
      <vt:variant>
        <vt:i4>5</vt:i4>
      </vt:variant>
      <vt:variant>
        <vt:lpwstr/>
      </vt:variant>
      <vt:variant>
        <vt:lpwstr>_ENREF_21</vt:lpwstr>
      </vt:variant>
      <vt:variant>
        <vt:i4>4194360</vt:i4>
      </vt:variant>
      <vt:variant>
        <vt:i4>134</vt:i4>
      </vt:variant>
      <vt:variant>
        <vt:i4>0</vt:i4>
      </vt:variant>
      <vt:variant>
        <vt:i4>5</vt:i4>
      </vt:variant>
      <vt:variant>
        <vt:lpwstr/>
      </vt:variant>
      <vt:variant>
        <vt:lpwstr>_ENREF_13</vt:lpwstr>
      </vt:variant>
      <vt:variant>
        <vt:i4>4456459</vt:i4>
      </vt:variant>
      <vt:variant>
        <vt:i4>131</vt:i4>
      </vt:variant>
      <vt:variant>
        <vt:i4>0</vt:i4>
      </vt:variant>
      <vt:variant>
        <vt:i4>5</vt:i4>
      </vt:variant>
      <vt:variant>
        <vt:lpwstr/>
      </vt:variant>
      <vt:variant>
        <vt:lpwstr>_ENREF_5</vt:lpwstr>
      </vt:variant>
      <vt:variant>
        <vt:i4>4390963</vt:i4>
      </vt:variant>
      <vt:variant>
        <vt:i4>123</vt:i4>
      </vt:variant>
      <vt:variant>
        <vt:i4>0</vt:i4>
      </vt:variant>
      <vt:variant>
        <vt:i4>5</vt:i4>
      </vt:variant>
      <vt:variant>
        <vt:lpwstr/>
      </vt:variant>
      <vt:variant>
        <vt:lpwstr>_ENREF_28</vt:lpwstr>
      </vt:variant>
      <vt:variant>
        <vt:i4>4390971</vt:i4>
      </vt:variant>
      <vt:variant>
        <vt:i4>120</vt:i4>
      </vt:variant>
      <vt:variant>
        <vt:i4>0</vt:i4>
      </vt:variant>
      <vt:variant>
        <vt:i4>5</vt:i4>
      </vt:variant>
      <vt:variant>
        <vt:lpwstr/>
      </vt:variant>
      <vt:variant>
        <vt:lpwstr>_ENREF_20</vt:lpwstr>
      </vt:variant>
      <vt:variant>
        <vt:i4>4521995</vt:i4>
      </vt:variant>
      <vt:variant>
        <vt:i4>117</vt:i4>
      </vt:variant>
      <vt:variant>
        <vt:i4>0</vt:i4>
      </vt:variant>
      <vt:variant>
        <vt:i4>5</vt:i4>
      </vt:variant>
      <vt:variant>
        <vt:lpwstr/>
      </vt:variant>
      <vt:variant>
        <vt:lpwstr>_ENREF_4</vt:lpwstr>
      </vt:variant>
      <vt:variant>
        <vt:i4>4325439</vt:i4>
      </vt:variant>
      <vt:variant>
        <vt:i4>109</vt:i4>
      </vt:variant>
      <vt:variant>
        <vt:i4>0</vt:i4>
      </vt:variant>
      <vt:variant>
        <vt:i4>5</vt:i4>
      </vt:variant>
      <vt:variant>
        <vt:lpwstr/>
      </vt:variant>
      <vt:variant>
        <vt:lpwstr>_ENREF_34</vt:lpwstr>
      </vt:variant>
      <vt:variant>
        <vt:i4>4325436</vt:i4>
      </vt:variant>
      <vt:variant>
        <vt:i4>103</vt:i4>
      </vt:variant>
      <vt:variant>
        <vt:i4>0</vt:i4>
      </vt:variant>
      <vt:variant>
        <vt:i4>5</vt:i4>
      </vt:variant>
      <vt:variant>
        <vt:lpwstr/>
      </vt:variant>
      <vt:variant>
        <vt:lpwstr>_ENREF_37</vt:lpwstr>
      </vt:variant>
      <vt:variant>
        <vt:i4>4325437</vt:i4>
      </vt:variant>
      <vt:variant>
        <vt:i4>97</vt:i4>
      </vt:variant>
      <vt:variant>
        <vt:i4>0</vt:i4>
      </vt:variant>
      <vt:variant>
        <vt:i4>5</vt:i4>
      </vt:variant>
      <vt:variant>
        <vt:lpwstr/>
      </vt:variant>
      <vt:variant>
        <vt:lpwstr>_ENREF_36</vt:lpwstr>
      </vt:variant>
      <vt:variant>
        <vt:i4>4325438</vt:i4>
      </vt:variant>
      <vt:variant>
        <vt:i4>91</vt:i4>
      </vt:variant>
      <vt:variant>
        <vt:i4>0</vt:i4>
      </vt:variant>
      <vt:variant>
        <vt:i4>5</vt:i4>
      </vt:variant>
      <vt:variant>
        <vt:lpwstr/>
      </vt:variant>
      <vt:variant>
        <vt:lpwstr>_ENREF_35</vt:lpwstr>
      </vt:variant>
      <vt:variant>
        <vt:i4>4325439</vt:i4>
      </vt:variant>
      <vt:variant>
        <vt:i4>85</vt:i4>
      </vt:variant>
      <vt:variant>
        <vt:i4>0</vt:i4>
      </vt:variant>
      <vt:variant>
        <vt:i4>5</vt:i4>
      </vt:variant>
      <vt:variant>
        <vt:lpwstr/>
      </vt:variant>
      <vt:variant>
        <vt:lpwstr>_ENREF_34</vt:lpwstr>
      </vt:variant>
      <vt:variant>
        <vt:i4>4194361</vt:i4>
      </vt:variant>
      <vt:variant>
        <vt:i4>79</vt:i4>
      </vt:variant>
      <vt:variant>
        <vt:i4>0</vt:i4>
      </vt:variant>
      <vt:variant>
        <vt:i4>5</vt:i4>
      </vt:variant>
      <vt:variant>
        <vt:lpwstr/>
      </vt:variant>
      <vt:variant>
        <vt:lpwstr>_ENREF_12</vt:lpwstr>
      </vt:variant>
      <vt:variant>
        <vt:i4>4194364</vt:i4>
      </vt:variant>
      <vt:variant>
        <vt:i4>73</vt:i4>
      </vt:variant>
      <vt:variant>
        <vt:i4>0</vt:i4>
      </vt:variant>
      <vt:variant>
        <vt:i4>5</vt:i4>
      </vt:variant>
      <vt:variant>
        <vt:lpwstr/>
      </vt:variant>
      <vt:variant>
        <vt:lpwstr>_ENREF_17</vt:lpwstr>
      </vt:variant>
      <vt:variant>
        <vt:i4>4390973</vt:i4>
      </vt:variant>
      <vt:variant>
        <vt:i4>67</vt:i4>
      </vt:variant>
      <vt:variant>
        <vt:i4>0</vt:i4>
      </vt:variant>
      <vt:variant>
        <vt:i4>5</vt:i4>
      </vt:variant>
      <vt:variant>
        <vt:lpwstr/>
      </vt:variant>
      <vt:variant>
        <vt:lpwstr>_ENREF_26</vt:lpwstr>
      </vt:variant>
      <vt:variant>
        <vt:i4>4194362</vt:i4>
      </vt:variant>
      <vt:variant>
        <vt:i4>61</vt:i4>
      </vt:variant>
      <vt:variant>
        <vt:i4>0</vt:i4>
      </vt:variant>
      <vt:variant>
        <vt:i4>5</vt:i4>
      </vt:variant>
      <vt:variant>
        <vt:lpwstr/>
      </vt:variant>
      <vt:variant>
        <vt:lpwstr>_ENREF_11</vt:lpwstr>
      </vt:variant>
      <vt:variant>
        <vt:i4>4194364</vt:i4>
      </vt:variant>
      <vt:variant>
        <vt:i4>55</vt:i4>
      </vt:variant>
      <vt:variant>
        <vt:i4>0</vt:i4>
      </vt:variant>
      <vt:variant>
        <vt:i4>5</vt:i4>
      </vt:variant>
      <vt:variant>
        <vt:lpwstr/>
      </vt:variant>
      <vt:variant>
        <vt:lpwstr>_ENREF_17</vt:lpwstr>
      </vt:variant>
      <vt:variant>
        <vt:i4>4522042</vt:i4>
      </vt:variant>
      <vt:variant>
        <vt:i4>49</vt:i4>
      </vt:variant>
      <vt:variant>
        <vt:i4>0</vt:i4>
      </vt:variant>
      <vt:variant>
        <vt:i4>5</vt:i4>
      </vt:variant>
      <vt:variant>
        <vt:lpwstr/>
      </vt:variant>
      <vt:variant>
        <vt:lpwstr>_ENREF_41</vt:lpwstr>
      </vt:variant>
      <vt:variant>
        <vt:i4>4325427</vt:i4>
      </vt:variant>
      <vt:variant>
        <vt:i4>46</vt:i4>
      </vt:variant>
      <vt:variant>
        <vt:i4>0</vt:i4>
      </vt:variant>
      <vt:variant>
        <vt:i4>5</vt:i4>
      </vt:variant>
      <vt:variant>
        <vt:lpwstr/>
      </vt:variant>
      <vt:variant>
        <vt:lpwstr>_ENREF_38</vt:lpwstr>
      </vt:variant>
      <vt:variant>
        <vt:i4>4194366</vt:i4>
      </vt:variant>
      <vt:variant>
        <vt:i4>43</vt:i4>
      </vt:variant>
      <vt:variant>
        <vt:i4>0</vt:i4>
      </vt:variant>
      <vt:variant>
        <vt:i4>5</vt:i4>
      </vt:variant>
      <vt:variant>
        <vt:lpwstr/>
      </vt:variant>
      <vt:variant>
        <vt:lpwstr>_ENREF_15</vt:lpwstr>
      </vt:variant>
      <vt:variant>
        <vt:i4>4194367</vt:i4>
      </vt:variant>
      <vt:variant>
        <vt:i4>40</vt:i4>
      </vt:variant>
      <vt:variant>
        <vt:i4>0</vt:i4>
      </vt:variant>
      <vt:variant>
        <vt:i4>5</vt:i4>
      </vt:variant>
      <vt:variant>
        <vt:lpwstr/>
      </vt:variant>
      <vt:variant>
        <vt:lpwstr>_ENREF_14</vt:lpwstr>
      </vt:variant>
      <vt:variant>
        <vt:i4>4325439</vt:i4>
      </vt:variant>
      <vt:variant>
        <vt:i4>32</vt:i4>
      </vt:variant>
      <vt:variant>
        <vt:i4>0</vt:i4>
      </vt:variant>
      <vt:variant>
        <vt:i4>5</vt:i4>
      </vt:variant>
      <vt:variant>
        <vt:lpwstr/>
      </vt:variant>
      <vt:variant>
        <vt:lpwstr>_ENREF_34</vt:lpwstr>
      </vt:variant>
      <vt:variant>
        <vt:i4>4325439</vt:i4>
      </vt:variant>
      <vt:variant>
        <vt:i4>24</vt:i4>
      </vt:variant>
      <vt:variant>
        <vt:i4>0</vt:i4>
      </vt:variant>
      <vt:variant>
        <vt:i4>5</vt:i4>
      </vt:variant>
      <vt:variant>
        <vt:lpwstr/>
      </vt:variant>
      <vt:variant>
        <vt:lpwstr>_ENREF_34</vt:lpwstr>
      </vt:variant>
      <vt:variant>
        <vt:i4>4325439</vt:i4>
      </vt:variant>
      <vt:variant>
        <vt:i4>16</vt:i4>
      </vt:variant>
      <vt:variant>
        <vt:i4>0</vt:i4>
      </vt:variant>
      <vt:variant>
        <vt:i4>5</vt:i4>
      </vt:variant>
      <vt:variant>
        <vt:lpwstr/>
      </vt:variant>
      <vt:variant>
        <vt:lpwstr>_ENREF_34</vt:lpwstr>
      </vt:variant>
      <vt:variant>
        <vt:i4>4325438</vt:i4>
      </vt:variant>
      <vt:variant>
        <vt:i4>8</vt:i4>
      </vt:variant>
      <vt:variant>
        <vt:i4>0</vt:i4>
      </vt:variant>
      <vt:variant>
        <vt:i4>5</vt:i4>
      </vt:variant>
      <vt:variant>
        <vt:lpwstr/>
      </vt:variant>
      <vt:variant>
        <vt:lpwstr>_ENREF_35</vt:lpwstr>
      </vt:variant>
      <vt:variant>
        <vt:i4>4325438</vt:i4>
      </vt:variant>
      <vt:variant>
        <vt:i4>2</vt:i4>
      </vt:variant>
      <vt:variant>
        <vt:i4>0</vt:i4>
      </vt:variant>
      <vt:variant>
        <vt:i4>5</vt:i4>
      </vt:variant>
      <vt:variant>
        <vt:lpwstr/>
      </vt:variant>
      <vt:variant>
        <vt:lpwstr>_ENREF_35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Nav1</dc:creator>
  <cp:lastModifiedBy>Takudzwa Madzima</cp:lastModifiedBy>
  <cp:revision>17</cp:revision>
  <cp:lastPrinted>2015-06-25T21:55:00Z</cp:lastPrinted>
  <dcterms:created xsi:type="dcterms:W3CDTF">2020-06-15T19:50:00Z</dcterms:created>
  <dcterms:modified xsi:type="dcterms:W3CDTF">2020-06-18T19:01:00Z</dcterms:modified>
</cp:coreProperties>
</file>